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32"/>
            <w:shd w:fill="0B1020"/>
            <w:tcMar>
              <w:top w:w="420" w:type="dxa"/>
              <w:start w:w="360" w:type="dxa"/>
              <w:bottom w:w="420" w:type="dxa"/>
              <w:end w:w="360" w:type="dxa"/>
            </w:tcMar>
            <w:tcBorders>
              <w:top w:sz="4" w:val="single" w:color="0B1020"/>
              <w:left w:sz="4" w:val="single" w:color="0B1020"/>
              <w:bottom w:sz="4" w:val="single" w:color="0B1020"/>
              <w:right w:sz="4" w:val="single" w:color="0B1020"/>
            </w:tcBorders>
          </w:tcPr>
          <w:p>
            <w:pPr>
              <w:spacing w:after="120"/>
            </w:pPr>
            <w:r>
              <w:rPr>
                <w:b/>
                <w:color w:val="22D3EE"/>
                <w:sz w:val="16"/>
              </w:rPr>
              <w:t>QUARTERLY REVIEW / Q3 2026</w:t>
            </w:r>
          </w:p>
          <w:p>
            <w:pPr>
              <w:spacing w:after="100"/>
            </w:pPr>
            <w:r>
              <w:rPr>
                <w:rFonts w:ascii="Georgia" w:hAnsi="Georgia" w:eastAsia="Georgia"/>
                <w:b/>
                <w:color w:val="FFFFFF"/>
                <w:sz w:val="58"/>
              </w:rPr>
              <w:t>Business Report</w:t>
            </w:r>
          </w:p>
          <w:p>
            <w:pPr>
              <w:spacing w:after="0"/>
            </w:pPr>
            <w:r>
              <w:rPr>
                <w:color w:val="C7D2FE"/>
                <w:sz w:val="22"/>
              </w:rPr>
              <w:t>Performance, insight and the decisions that follow.</w:t>
            </w:r>
          </w:p>
        </w:tc>
      </w:tr>
    </w:tbl>
    <w:p>
      <w:pPr>
        <w:spacing w:after="80"/>
      </w:pPr>
    </w:p>
    <w:p>
      <w:pPr>
        <w:spacing w:after="280"/>
      </w:pPr>
      <w:r>
        <w:rPr>
          <w:b/>
          <w:color w:val="667085"/>
          <w:sz w:val="16"/>
        </w:rPr>
        <w:t>PREPARED WITH PLOT DOCS   •   EDIT EVERY SECTION   •   SAVE AS DOCX OR PDF</w:t>
      </w:r>
    </w:p>
    <w:p>
      <w:pPr>
        <w:pStyle w:val="Heading1"/>
        <w:keepNext/>
        <w:pBdr>
          <w:bottom w:val="single" w:sz="10" w:space="6" w:color="8B5CF6"/>
        </w:pBdr>
      </w:pPr>
      <w:r>
        <w:t>Executive summary</w:t>
      </w:r>
    </w:p>
    <w:p>
      <w:pPr>
        <w:widowControl/>
      </w:pPr>
      <w:r>
        <w:t>Revenue grew 18% quarter over quarter, led by mid-market expansion. Retention held at 94%, while gross margin improved by 2.1 points after the support workflow changes. The next constraint is pipeline coverage in the enterprise segment.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32"/>
            <w:shd w:fill="F2EDFF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top w:sz="2" w:val="single" w:color="F2EDFF"/>
              <w:left w:sz="22" w:val="single" w:color="8B5CF6"/>
              <w:bottom w:sz="2" w:val="single" w:color="F2EDFF"/>
              <w:right w:sz="2" w:val="single" w:color="F2EDFF"/>
            </w:tcBorders>
          </w:tcPr>
          <w:p>
            <w:pPr>
              <w:spacing w:after="60"/>
            </w:pPr>
            <w:r>
              <w:rPr>
                <w:b/>
                <w:color w:val="8B5CF6"/>
                <w:sz w:val="16"/>
              </w:rPr>
              <w:t>THE HEADLINE</w:t>
            </w:r>
          </w:p>
          <w:p>
            <w:pPr>
              <w:spacing w:after="0"/>
            </w:pPr>
            <w:r>
              <w:rPr>
                <w:color w:val="1B2237"/>
                <w:sz w:val="20"/>
              </w:rPr>
              <w:t>Growth is healthy and efficient. The remaining risk is concentration: three enterprise deals represent 41% of the forecast.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6" w:space="6" w:color="DDE3F0"/>
        </w:pBdr>
      </w:pPr>
      <w:r>
        <w:t>Key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1944"/>
        <w:gridCol w:w="1944"/>
        <w:gridCol w:w="1872"/>
      </w:tblGrid>
      <w:tr>
        <w:trPr>
          <w:tblHeader w:val="true"/>
          <w:trHeight w:val="489" w:hRule="atLeast"/>
        </w:trPr>
        <w:tc>
          <w:tcPr>
            <w:tcW w:type="dxa" w:w="3672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944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Q3</w:t>
            </w:r>
          </w:p>
        </w:tc>
        <w:tc>
          <w:tcPr>
            <w:tcW w:type="dxa" w:w="1944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Q2</w:t>
            </w:r>
          </w:p>
        </w:tc>
        <w:tc>
          <w:tcPr>
            <w:tcW w:type="dxa" w:w="1872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CHANGE</w:t>
            </w:r>
          </w:p>
        </w:tc>
      </w:tr>
      <w:tr>
        <w:trPr>
          <w:trHeight w:val="460" w:hRule="atLeast"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Revenue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$4.82M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$4.08M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+18.1%</w:t>
            </w:r>
          </w:p>
        </w:tc>
      </w:tr>
      <w:tr>
        <w:trPr>
          <w:trHeight w:val="460" w:hRule="atLeast"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Gross margin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78.4%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76.3%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+2.1 pts</w:t>
            </w:r>
          </w:p>
        </w:tc>
      </w:tr>
      <w:tr>
        <w:trPr>
          <w:trHeight w:val="460" w:hRule="atLeast"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Net retention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94%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93%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+1 pt</w:t>
            </w:r>
          </w:p>
        </w:tc>
      </w:tr>
      <w:tr>
        <w:trPr>
          <w:trHeight w:val="460" w:hRule="atLeast"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New logos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37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31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+6</w:t>
            </w:r>
          </w:p>
        </w:tc>
      </w:tr>
      <w:tr>
        <w:trPr>
          <w:trHeight w:val="460" w:hRule="atLeast"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Pipeline coverage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2.6×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3.1×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−0.5×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6" w:space="6" w:color="DDE3F0"/>
        </w:pBdr>
      </w:pPr>
      <w:r>
        <w:t>What worked</w:t>
      </w:r>
    </w:p>
    <w:p>
      <w:pPr>
        <w:pStyle w:val="ListBullet"/>
        <w:widowControl/>
        <w:spacing w:after="60"/>
      </w:pPr>
      <w:r>
        <w:rPr>
          <w:color w:val="1B2237"/>
          <w:sz w:val="21"/>
        </w:rPr>
        <w:t>The mid-market playbook shortened the sales cycle by nine days.</w:t>
      </w:r>
    </w:p>
    <w:p>
      <w:pPr>
        <w:pStyle w:val="ListBullet"/>
        <w:widowControl/>
        <w:spacing w:after="60"/>
      </w:pPr>
      <w:r>
        <w:rPr>
          <w:color w:val="1B2237"/>
          <w:sz w:val="21"/>
        </w:rPr>
        <w:t>Support automation resolved 32% of tier-one tickets without a human handoff.</w:t>
      </w:r>
    </w:p>
    <w:p>
      <w:pPr>
        <w:pStyle w:val="ListBullet"/>
        <w:widowControl/>
        <w:spacing w:after="60"/>
      </w:pPr>
      <w:r>
        <w:rPr>
          <w:color w:val="1B2237"/>
          <w:sz w:val="21"/>
        </w:rPr>
        <w:t>The new onboarding checklist lifted week-one activation by six points.</w:t>
      </w:r>
    </w:p>
    <w:p>
      <w:pPr>
        <w:pStyle w:val="Heading2"/>
        <w:keepNext/>
        <w:pBdr>
          <w:bottom w:val="single" w:sz="6" w:space="6" w:color="DDE3F0"/>
        </w:pBdr>
      </w:pPr>
      <w:r>
        <w:t>What needs attention</w:t>
      </w:r>
    </w:p>
    <w:p>
      <w:pPr>
        <w:pStyle w:val="ListBullet"/>
        <w:widowControl/>
        <w:spacing w:after="60"/>
      </w:pPr>
      <w:r>
        <w:rPr>
          <w:color w:val="1B2237"/>
          <w:sz w:val="21"/>
        </w:rPr>
        <w:t>Enterprise pipeline is thinner than plan and concentrated in three accounts.</w:t>
      </w:r>
    </w:p>
    <w:p>
      <w:pPr>
        <w:pStyle w:val="ListBullet"/>
        <w:widowControl/>
        <w:spacing w:after="60"/>
      </w:pPr>
      <w:r>
        <w:rPr>
          <w:color w:val="1B2237"/>
          <w:sz w:val="21"/>
        </w:rPr>
        <w:t>Two product areas still depend on a single subject-matter expert.</w:t>
      </w:r>
    </w:p>
    <w:p>
      <w:pPr>
        <w:pStyle w:val="ListBullet"/>
        <w:widowControl/>
        <w:spacing w:after="60"/>
      </w:pPr>
      <w:r>
        <w:rPr>
          <w:color w:val="1B2237"/>
          <w:sz w:val="21"/>
        </w:rPr>
        <w:t>Expansion revenue is strong, but the handoff from support to success is manual.</w:t>
      </w:r>
    </w:p>
    <w:p>
      <w:pPr>
        <w:pStyle w:val="Heading2"/>
        <w:keepNext/>
        <w:pBdr>
          <w:bottom w:val="single" w:sz="6" w:space="6" w:color="DDE3F0"/>
        </w:pBdr>
      </w:pPr>
      <w:r>
        <w:t>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1944"/>
        <w:gridCol w:w="2376"/>
      </w:tblGrid>
      <w:tr>
        <w:trPr>
          <w:tblHeader w:val="true"/>
          <w:trHeight w:val="489" w:hRule="atLeast"/>
        </w:trPr>
        <w:tc>
          <w:tcPr>
            <w:tcW w:type="dxa" w:w="5112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RECOMMENDATION</w:t>
            </w:r>
          </w:p>
        </w:tc>
        <w:tc>
          <w:tcPr>
            <w:tcW w:type="dxa" w:w="1944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376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IMPACT</w:t>
            </w:r>
          </w:p>
        </w:tc>
      </w:tr>
      <w:tr>
        <w:trPr>
          <w:trHeight w:val="460" w:hRule="atLeast"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Add two enterprise-qualified pipeline sources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Revenue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High</w:t>
            </w:r>
          </w:p>
        </w:tc>
      </w:tr>
      <w:tr>
        <w:trPr>
          <w:trHeight w:val="460" w:hRule="atLeast"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Document the top five support playbooks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Customer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Medium</w:t>
            </w:r>
          </w:p>
        </w:tc>
      </w:tr>
      <w:tr>
        <w:trPr>
          <w:trHeight w:val="460" w:hRule="atLeast"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Automate support-to-success handoff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Operations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High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6" w:space="6" w:color="DDE3F0"/>
        </w:pBdr>
      </w:pPr>
      <w:r>
        <w:t>Appendix: method</w:t>
      </w:r>
    </w:p>
    <w:p>
      <w:pPr>
        <w:widowControl/>
      </w:pPr>
      <w:r>
        <w:t>Figures are unaudited management accounts through 30 September 2026. Retention is net revenue retention on a trailing-twelve-month basis. Pipeline coverage compares qualified pipeline to the next-quarter target.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152" w:left="1224" w:header="504" w:footer="504" w:gutter="0"/>
      <w:cols w:space="720"/>
      <w:docGrid w:linePitch="360"/>
      <w:pgBorders w:offsetFrom="page">
        <w:top w:val="single" w:sz="14" w:space="24" w:color="8B5CF6"/>
        <w:left w:val="single" w:sz="4" w:space="18" w:color="DDE3F0"/>
        <w:bottom w:val="single" w:sz="8" w:space="24" w:color="0B1020"/>
        <w:right w:val="single" w:sz="4" w:space="18" w:color="DDE3F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32" w:val="right"/>
      </w:tabs>
      <w:pBdr>
        <w:top w:val="single" w:sz="4" w:space="6" w:color="DDE3F0"/>
      </w:pBdr>
    </w:pPr>
    <w:r/>
    <w:r>
      <w:rPr>
        <w:color w:val="667085"/>
        <w:sz w:val="16"/>
      </w:rPr>
      <w:t>Business Report</w:t>
      <w:tab/>
    </w:r>
    <w:r>
      <w:rPr>
        <w:color w:val="667085"/>
        <w:sz w:val="16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667085"/>
        <w:sz w:val="16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DDE3F0"/>
      </w:pBdr>
    </w:pPr>
    <w:r/>
    <w:r>
      <w:rPr>
        <w:b/>
        <w:color w:val="667085"/>
        <w:sz w:val="16"/>
      </w:rPr>
      <w:t xml:space="preserve">PLOT DOCS  /  </w:t>
    </w:r>
    <w:r>
      <w:rPr>
        <w:b/>
        <w:color w:val="6D3BE8"/>
        <w:sz w:val="16"/>
      </w:rPr>
      <w:t>BUSINESS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Calibri" w:hAnsi="Calibri"/>
      <w:color w:val="1B22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10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6D3BE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B22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