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0B1020"/>
            <w:tcMar>
              <w:top w:w="420" w:type="dxa"/>
              <w:start w:w="360" w:type="dxa"/>
              <w:bottom w:w="420" w:type="dxa"/>
              <w:end w:w="360" w:type="dxa"/>
            </w:tcMar>
            <w:tcBorders>
              <w:top w:sz="4" w:val="single" w:color="0B1020"/>
              <w:left w:sz="4" w:val="single" w:color="0B1020"/>
              <w:bottom w:sz="4" w:val="single" w:color="0B1020"/>
              <w:right w:sz="4" w:val="single" w:color="0B1020"/>
            </w:tcBorders>
          </w:tcPr>
          <w:p>
            <w:pPr>
              <w:spacing w:after="120"/>
            </w:pPr>
            <w:r>
              <w:rPr>
                <w:b/>
                <w:color w:val="22D3EE"/>
                <w:sz w:val="16"/>
              </w:rPr>
              <w:t>PROPOSAL / 2026</w:t>
            </w:r>
          </w:p>
          <w:p>
            <w:pPr>
              <w:spacing w:after="100"/>
            </w:pPr>
            <w:r>
              <w:rPr>
                <w:rFonts w:ascii="Georgia" w:hAnsi="Georgia" w:eastAsia="Georgia"/>
                <w:b/>
                <w:color w:val="FFFFFF"/>
                <w:sz w:val="58"/>
              </w:rPr>
              <w:t>Project Proposal</w:t>
            </w:r>
          </w:p>
          <w:p>
            <w:pPr>
              <w:spacing w:after="0"/>
            </w:pPr>
            <w:r>
              <w:rPr>
                <w:color w:val="C7D2FE"/>
                <w:sz w:val="22"/>
              </w:rPr>
              <w:t>A clear plan for the work, the people and the outcome.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b/>
          <w:color w:val="667085"/>
          <w:sz w:val="16"/>
        </w:rPr>
        <w:t>PREPARED WITH PLOT DOCS   •   EDIT EVERY SECTION   •   SAVE AS DOCX OR PDF</w:t>
      </w:r>
    </w:p>
    <w:p>
      <w:pPr>
        <w:pStyle w:val="Heading1"/>
        <w:keepNext/>
        <w:pBdr>
          <w:bottom w:val="single" w:sz="10" w:space="6" w:color="8B5CF6"/>
        </w:pBdr>
      </w:pPr>
      <w: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2232"/>
        <w:gridCol w:w="2304"/>
      </w:tblGrid>
      <w:tr>
        <w:trPr>
          <w:tblHeader w:val="true"/>
          <w:trHeight w:val="489" w:hRule="atLeast"/>
        </w:trPr>
        <w:tc>
          <w:tcPr>
            <w:tcW w:type="dxa" w:w="223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CLIENT</w:t>
            </w:r>
          </w:p>
        </w:tc>
        <w:tc>
          <w:tcPr>
            <w:tcW w:type="dxa" w:w="266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PROJECT LEAD</w:t>
            </w:r>
          </w:p>
        </w:tc>
        <w:tc>
          <w:tcPr>
            <w:tcW w:type="dxa" w:w="223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230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BUDGET</w:t>
            </w:r>
          </w:p>
        </w:tc>
      </w:tr>
      <w:tr>
        <w:trPr>
          <w:trHeight w:val="460" w:hRule="atLeast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Northstar Labs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Avery Chen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8 weeks · Jan–Mar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$48,000</w:t>
            </w:r>
          </w:p>
        </w:tc>
      </w:tr>
      <w:tr>
        <w:trPr>
          <w:trHeight w:val="460" w:hRule="atLeast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Sponsor: Jordan Lee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Design: Priya Shah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Kickoff: 12 Jan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Payment: milestone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Executive summary</w:t>
      </w:r>
    </w:p>
    <w:p>
      <w:pPr>
        <w:widowControl/>
      </w:pPr>
      <w:r>
        <w:t>Northstar Labs is launching a customer education hub to shorten onboarding and make product expertise available on demand. This proposal covers a focused eight-week engagement: discovery, content architecture, a production-ready site and a measurement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F2EDFF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sz="2" w:val="single" w:color="F2EDFF"/>
              <w:left w:sz="22" w:val="single" w:color="8B5CF6"/>
              <w:bottom w:sz="2" w:val="single" w:color="F2EDFF"/>
              <w:right w:sz="2" w:val="single" w:color="F2EDFF"/>
            </w:tcBorders>
          </w:tcPr>
          <w:p>
            <w:pPr>
              <w:spacing w:after="60"/>
            </w:pPr>
            <w:r>
              <w:rPr>
                <w:b/>
                <w:color w:val="8B5CF6"/>
                <w:sz w:val="16"/>
              </w:rPr>
              <w:t>OUTCOME WE ARE BUYING</w:t>
            </w:r>
          </w:p>
          <w:p>
            <w:pPr>
              <w:spacing w:after="0"/>
            </w:pPr>
            <w:r>
              <w:rPr>
                <w:color w:val="1B2237"/>
                <w:sz w:val="20"/>
              </w:rPr>
              <w:t>A launch-ready learning hub that takes a new customer from sign-up to first value in under 15 minutes, with a clear baseline for measuring adoption.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Objectives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Reduce time-to-first-value for new accounts by at least 30%.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Publish 12 core learning paths with consistent structure and search.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Instrument every path so the team can see completion and drop-off.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Leave the team with an editorial system they can run without us.</w:t>
      </w:r>
    </w:p>
    <w:p>
      <w:pPr>
        <w:pStyle w:val="Heading2"/>
        <w:keepNext/>
        <w:pBdr>
          <w:bottom w:val="single" w:sz="6" w:space="6" w:color="DDE3F0"/>
        </w:pBdr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752"/>
      </w:tblGrid>
      <w:tr>
        <w:trPr>
          <w:tblHeader w:val="true"/>
          <w:trHeight w:val="489" w:hRule="atLeast"/>
        </w:trPr>
        <w:tc>
          <w:tcPr>
            <w:tcW w:type="dxa" w:w="468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75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 OF SCOPE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Discovery interviews and content audit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Paid media and campaign production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Information architecture and templates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Translations beyond English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12 learning paths, 40–60 articles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Ongoing community management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Analytics events and handover workshop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Custom LMS procurement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464"/>
        <w:gridCol w:w="3816"/>
      </w:tblGrid>
      <w:tr>
        <w:trPr>
          <w:tblHeader w:val="true"/>
          <w:trHeight w:val="489" w:hRule="atLeast"/>
        </w:trPr>
        <w:tc>
          <w:tcPr>
            <w:tcW w:type="dxa" w:w="115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446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3816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</w:tr>
      <w:tr>
        <w:trPr>
          <w:trHeight w:val="460" w:hRule="atLeast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1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Discovery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Interview notes and content inventory</w:t>
            </w:r>
          </w:p>
        </w:tc>
      </w:tr>
      <w:tr>
        <w:trPr>
          <w:trHeight w:val="460" w:hRule="atLeast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2–3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Architecture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Approved sitemap and page templates</w:t>
            </w:r>
          </w:p>
        </w:tc>
      </w:tr>
      <w:tr>
        <w:trPr>
          <w:trHeight w:val="460" w:hRule="atLeast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4–6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Production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First six paths in review</w:t>
            </w:r>
          </w:p>
        </w:tc>
      </w:tr>
      <w:tr>
        <w:trPr>
          <w:trHeight w:val="460" w:hRule="atLeast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7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Measurement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Events live in staging</w:t>
            </w:r>
          </w:p>
        </w:tc>
      </w:tr>
      <w:tr>
        <w:trPr>
          <w:trHeight w:val="460" w:hRule="atLeast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8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Launch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Handover, QA and go-live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1440"/>
        <w:gridCol w:w="3168"/>
      </w:tblGrid>
      <w:tr>
        <w:trPr>
          <w:tblHeader w:val="true"/>
          <w:trHeight w:val="489" w:hRule="atLeast"/>
        </w:trPr>
        <w:tc>
          <w:tcPr>
            <w:tcW w:type="dxa" w:w="482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144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3168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INVESTMENT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Discovery and strategy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6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$7,200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Content architecture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5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$6,000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Content production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18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$21,600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Design and build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9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$10,800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Measurement and handover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$2,400</w:t>
            </w:r>
          </w:p>
        </w:tc>
      </w:tr>
      <w:tr>
        <w:trPr>
          <w:trHeight w:val="460" w:hRule="atLeast"/>
        </w:trP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Total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40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$48,000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Next steps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Confirm the sponsor and subject-matter experts for discovery.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Approve the timeline and milestone payment schedule.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Book the kickoff workshop and share existing content.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152" w:left="1224" w:header="504" w:footer="504" w:gutter="0"/>
      <w:cols w:space="720"/>
      <w:docGrid w:linePitch="360"/>
      <w:pgBorders w:offsetFrom="page">
        <w:top w:val="single" w:sz="14" w:space="24" w:color="8B5CF6"/>
        <w:left w:val="single" w:sz="4" w:space="18" w:color="DDE3F0"/>
        <w:bottom w:val="single" w:sz="8" w:space="24" w:color="0B1020"/>
        <w:right w:val="single" w:sz="4" w:space="18" w:color="DDE3F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32" w:val="right"/>
      </w:tabs>
      <w:pBdr>
        <w:top w:val="single" w:sz="4" w:space="6" w:color="DDE3F0"/>
      </w:pBdr>
    </w:pPr>
    <w:r/>
    <w:r>
      <w:rPr>
        <w:color w:val="667085"/>
        <w:sz w:val="16"/>
      </w:rPr>
      <w:t>Project Proposal</w:t>
      <w:tab/>
    </w:r>
    <w:r>
      <w:rPr>
        <w:color w:val="667085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667085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DDE3F0"/>
      </w:pBdr>
    </w:pPr>
    <w:r/>
    <w:r>
      <w:rPr>
        <w:b/>
        <w:color w:val="667085"/>
        <w:sz w:val="16"/>
      </w:rPr>
      <w:t xml:space="preserve">PLOT DOCS  /  </w:t>
    </w:r>
    <w:r>
      <w:rPr>
        <w:b/>
        <w:color w:val="6D3BE8"/>
        <w:sz w:val="16"/>
      </w:rPr>
      <w:t>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/>
      <w:color w:val="1B22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6D3B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B22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