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A7F" w:rsidRDefault="00B17098">
      <w:pPr>
        <w:spacing w:before="800" w:after="200"/>
        <w:jc w:val="center"/>
      </w:pPr>
      <w:r>
        <w:rPr>
          <w:b/>
          <w:bCs/>
          <w:color w:val="1B3A5C"/>
          <w:sz w:val="44"/>
          <w:szCs w:val="44"/>
        </w:rPr>
        <w:t>STUDY PROTOCOL</w:t>
      </w:r>
    </w:p>
    <w:p w:rsidR="00B32A7F" w:rsidRDefault="00B17098">
      <w:pPr>
        <w:spacing w:after="300"/>
        <w:jc w:val="center"/>
      </w:pPr>
      <w:r>
        <w:rPr>
          <w:b/>
          <w:bCs/>
          <w:sz w:val="26"/>
          <w:szCs w:val="26"/>
        </w:rPr>
        <w:t>Efficacy and Safety of Darbepoetin Alfa in Adults with Previously Untreated Extensive-Stage Small Cell Lung Cancer Receiving Platinum-Based Chemotherapy: Analysis of a Phase 3 Randomized Controlled Trial (NCT00119613)</w:t>
      </w:r>
    </w:p>
    <w:p w:rsidR="00B32A7F" w:rsidRDefault="00B17098">
      <w:pPr>
        <w:spacing w:after="80"/>
        <w:jc w:val="center"/>
      </w:pPr>
      <w:r>
        <w:rPr>
          <w:i/>
          <w:iCs/>
        </w:rPr>
        <w:t xml:space="preserve">Protocol Version </w:t>
      </w:r>
      <w:r w:rsidR="0012261D">
        <w:rPr>
          <w:i/>
          <w:iCs/>
        </w:rPr>
        <w:t>1.0 | Draft</w:t>
      </w:r>
      <w:r>
        <w:rPr>
          <w:i/>
          <w:iCs/>
        </w:rPr>
        <w:t xml:space="preserve"> Date: June 2026</w:t>
      </w:r>
    </w:p>
    <w:p w:rsidR="00B32A7F" w:rsidRDefault="00B17098">
      <w:pPr>
        <w:spacing w:after="80"/>
        <w:jc w:val="center"/>
      </w:pPr>
      <w:r>
        <w:t>Prepared by: Sukhesh Sudan, MPH, BDS</w:t>
      </w:r>
    </w:p>
    <w:p w:rsidR="00B32A7F" w:rsidRDefault="00B17098"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>Data Source: Project Data Sphere — de-identified Phase 3 RCT dataset (Amgen study 20010145). Used under data use agreement for non-commercial methodological research.</w:t>
      </w:r>
    </w:p>
    <w:p w:rsidR="00B32A7F" w:rsidRDefault="00B32A7F">
      <w:pPr>
        <w:pageBreakBefore/>
      </w:pPr>
    </w:p>
    <w:p w:rsidR="00B32A7F" w:rsidRDefault="00B17098">
      <w:pPr>
        <w:pStyle w:val="Heading1"/>
      </w:pPr>
      <w:r>
        <w:t>1. B</w:t>
      </w:r>
      <w:r>
        <w:t>ackground &amp; Rationale</w:t>
      </w:r>
    </w:p>
    <w:p w:rsidR="00B32A7F" w:rsidRDefault="00B17098">
      <w:pPr>
        <w:spacing w:after="160"/>
      </w:pPr>
      <w:r>
        <w:t>Darbepoetin alfa (Aranesp/NESP) is an erythropoiesis-stimulating agent (ESA) that stimulates red blood cell production by binding to erythropoietin receptors. In oncology, ESAs were hypothesized to improve overall survival in cancer p</w:t>
      </w:r>
      <w:r>
        <w:t>atients by correcting chemotherapy-induced anemia — anemia being a common and debilitating complication of cytotoxic chemotherapy that was associated with poorer outcomes in observational literature.</w:t>
      </w:r>
    </w:p>
    <w:p w:rsidR="00B32A7F" w:rsidRDefault="00B17098">
      <w:pPr>
        <w:spacing w:after="160"/>
      </w:pPr>
      <w:r>
        <w:t>Extensive-stage small cell lung cancer (ES-SCLC) is an a</w:t>
      </w:r>
      <w:r>
        <w:t>ggressive malignancy with poor prognosis, typically treated with platinum-based chemotherapy (cisplatin or carboplatin plus etoposide). Chemotherapy-induced anemia is common in this population, affecting patient performance status, quality of life, and pot</w:t>
      </w:r>
      <w:r>
        <w:t>entially treatment tolerance.</w:t>
      </w:r>
    </w:p>
    <w:p w:rsidR="00B32A7F" w:rsidRDefault="00B17098">
      <w:pPr>
        <w:spacing w:after="160"/>
      </w:pPr>
      <w:r>
        <w:t>This protocol describes a secondary analysis of a Phase 3, randomized, double-blind, placebo-controlled trial (NCT00119613, Amgen study 20010145) evaluating darbepoetin alfa versus placebo in 600 patients with previously untre</w:t>
      </w:r>
      <w:r>
        <w:t>ated ES-SCLC receiving platinum/etoposide chemotherapy. The primary objective is to analyze overall survival by treatment arm, with secondary objectives including safety profiling and quality of life assessment.</w:t>
      </w:r>
    </w:p>
    <w:p w:rsidR="00B32A7F" w:rsidRDefault="00B17098">
      <w:pPr>
        <w:spacing w:after="160"/>
      </w:pPr>
      <w:r>
        <w:t>Clinical context: ESAs in oncology subsequen</w:t>
      </w:r>
      <w:r>
        <w:t>tly became the subject of regulatory concern, with multiple trials showing potential tumor-stimulating effects and the FDA issuing a black box warning in 2008. This trial is part of the evidence base that informed that regulatory decision — understanding b</w:t>
      </w:r>
      <w:r>
        <w:t>oth the efficacy and safety signal is therefore clinically meaningful.</w:t>
      </w:r>
    </w:p>
    <w:p w:rsidR="00B32A7F" w:rsidRDefault="00B17098">
      <w:pPr>
        <w:pStyle w:val="Heading1"/>
      </w:pPr>
      <w:r>
        <w:t>2. Study Objectives</w:t>
      </w:r>
    </w:p>
    <w:p w:rsidR="00B32A7F" w:rsidRDefault="00B17098">
      <w:pPr>
        <w:pStyle w:val="Heading2"/>
      </w:pPr>
      <w:r>
        <w:t>2.1 Primary Objective</w:t>
      </w:r>
    </w:p>
    <w:p w:rsidR="00B32A7F" w:rsidRDefault="00B17098">
      <w:pPr>
        <w:spacing w:after="160"/>
      </w:pPr>
      <w:r>
        <w:t>To compare overall survival (OS) between darbepoetin alfa and placebo arms in patients with previously untreated extensive-stage SCLC receiving</w:t>
      </w:r>
      <w:r>
        <w:t xml:space="preserve"> platinum/etoposide chemotherapy.</w:t>
      </w:r>
    </w:p>
    <w:p w:rsidR="00B32A7F" w:rsidRDefault="00B17098">
      <w:pPr>
        <w:pStyle w:val="Heading2"/>
      </w:pPr>
      <w:r>
        <w:t>2.2 Secondary Objectives</w:t>
      </w:r>
    </w:p>
    <w:p w:rsidR="00B32A7F" w:rsidRDefault="00B17098">
      <w:pPr>
        <w:pStyle w:val="ListParagraph"/>
        <w:numPr>
          <w:ilvl w:val="0"/>
          <w:numId w:val="2"/>
        </w:numPr>
        <w:spacing w:after="80"/>
      </w:pPr>
      <w:r>
        <w:t>To describe and compare the adverse event (AE) profile by treatment arm, with specific attention to CTCAE-graded AEs and cardiovascular/thromboembolic events</w:t>
      </w:r>
    </w:p>
    <w:p w:rsidR="00B32A7F" w:rsidRDefault="00B17098">
      <w:pPr>
        <w:pStyle w:val="ListParagraph"/>
        <w:numPr>
          <w:ilvl w:val="0"/>
          <w:numId w:val="2"/>
        </w:numPr>
        <w:spacing w:after="80"/>
      </w:pPr>
      <w:r>
        <w:t>To describe hematologic response (hemog</w:t>
      </w:r>
      <w:r>
        <w:t>lobin levels over time) by treatment arm</w:t>
      </w:r>
    </w:p>
    <w:p w:rsidR="00B32A7F" w:rsidRDefault="00B17098">
      <w:pPr>
        <w:pStyle w:val="ListParagraph"/>
        <w:numPr>
          <w:ilvl w:val="0"/>
          <w:numId w:val="2"/>
        </w:numPr>
        <w:spacing w:after="80"/>
      </w:pPr>
      <w:r>
        <w:t>To describe patient-reported quality of life (QoL) outcomes using FACT-F, FACT-G, FACT-A, and EQ-5D instruments by treatment arm</w:t>
      </w:r>
    </w:p>
    <w:p w:rsidR="00B32A7F" w:rsidRDefault="00B17098">
      <w:pPr>
        <w:pStyle w:val="Heading1"/>
      </w:pPr>
      <w:r>
        <w:t>3. Study Design</w:t>
      </w:r>
    </w:p>
    <w:p w:rsidR="00B32A7F" w:rsidRDefault="00B17098">
      <w:pPr>
        <w:spacing w:after="160"/>
      </w:pPr>
      <w:r>
        <w:t>Secondary analysis of a Phase 3, randomized, double-blind, placebo-con</w:t>
      </w:r>
      <w:r>
        <w:t>trolled trial. Randomization was performed by the original trial sponsor (Amgen) — this protocol describes a re-analysis of the de-identified dataset for methodological demonstration purposes. Original trial design included a 1:1 allocation ratio (darbepoe</w:t>
      </w:r>
      <w:r>
        <w:t>tin alfa vs. placebo), stratified by trial site.</w:t>
      </w:r>
    </w:p>
    <w:p w:rsidR="0012261D" w:rsidRDefault="0012261D">
      <w:pPr>
        <w:spacing w:after="160"/>
      </w:pPr>
      <w:bookmarkStart w:id="0" w:name="_GoBack"/>
      <w:bookmarkEnd w:id="0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Element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Study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Phase 3 randomized, double-blind, placebo-controlled trial (secondary analysis)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Trial registration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NCT00119613 / Amgen study 20010145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Sponsor (original)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Amgen Inc.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Indication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Extensive-stage small cell lung cancer (ES-SCLC)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Intervention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Darbepoetin alfa (Aranesp/NESP) + platinum/etoposide chemotherapy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Comparator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Placebo + platinum/etoposide chemotherapy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Primary endpoint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Overall Survival (OS)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Total enrollment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N=600 (300 per arm)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Project Data Sphere (de-identified)</w:t>
            </w:r>
          </w:p>
        </w:tc>
      </w:tr>
    </w:tbl>
    <w:p w:rsidR="00B32A7F" w:rsidRDefault="00B17098">
      <w:pPr>
        <w:pStyle w:val="Heading1"/>
      </w:pPr>
      <w:r>
        <w:t>4. Data Source &amp; Dataset Structure</w:t>
      </w:r>
    </w:p>
    <w:p w:rsidR="00B32A7F" w:rsidRDefault="00B17098">
      <w:pPr>
        <w:pStyle w:val="Heading2"/>
      </w:pPr>
      <w:r>
        <w:t>4.1 Data Source</w:t>
      </w:r>
    </w:p>
    <w:p w:rsidR="00B32A7F" w:rsidRDefault="00B17098">
      <w:pPr>
        <w:spacing w:after="160"/>
      </w:pPr>
      <w:r>
        <w:t>De-identified individual patient data obtained from Project Data Sphere (projectdatasphere.org) under a data use agreement for non-commercial methodological research. Wayne State University affiliation used for data access.</w:t>
      </w:r>
    </w:p>
    <w:p w:rsidR="00B32A7F" w:rsidRDefault="00B17098">
      <w:pPr>
        <w:pStyle w:val="Heading2"/>
      </w:pPr>
      <w:r>
        <w:t>4.2 Dataset Structure</w:t>
      </w:r>
    </w:p>
    <w:p w:rsidR="00B32A7F" w:rsidRDefault="00B17098">
      <w:pPr>
        <w:spacing w:after="160"/>
      </w:pPr>
      <w:r>
        <w:t>The datase</w:t>
      </w:r>
      <w:r>
        <w:t>t follows a pre-ADaM CRT-style structure with two layers:</w:t>
      </w:r>
    </w:p>
    <w:p w:rsidR="00B32A7F" w:rsidRDefault="00B17098">
      <w:pPr>
        <w:spacing w:after="160"/>
      </w:pPr>
      <w:r>
        <w:rPr>
          <w:b/>
          <w:bCs/>
        </w:rPr>
        <w:t>Tabulation datasets (C_ prefix — SDTM-equivalent raw data):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860"/>
      </w:tblGrid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SDTM Equivalent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C_KEYVAR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DM (Demographics)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Patient identifiers, treatment arm, randomization information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C_BCHAR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DM + Baseline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Baseline characteristics: age, sex, ECOG performance status, disease history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C_DISP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DS (Disposition)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Study completion/discontinuation reasons — drives censoring logic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C_AE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AE (Adverse Events)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All adverse events with CTCAE grading, seriousne</w:t>
            </w:r>
            <w:r>
              <w:rPr>
                <w:sz w:val="19"/>
                <w:szCs w:val="19"/>
              </w:rPr>
              <w:t>ss flags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C_HEMAT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LB (Laboratory)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Hemoglobin and hematology values over time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C_CHEMO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EX (Exposure)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Chemotherapy and study drug administration details</w:t>
            </w:r>
          </w:p>
        </w:tc>
      </w:tr>
    </w:tbl>
    <w:p w:rsidR="00B32A7F" w:rsidRDefault="00B32A7F">
      <w:pPr>
        <w:spacing w:before="160"/>
      </w:pPr>
    </w:p>
    <w:p w:rsidR="00B32A7F" w:rsidRDefault="00B17098">
      <w:pPr>
        <w:spacing w:after="160"/>
      </w:pPr>
      <w:r>
        <w:rPr>
          <w:b/>
          <w:bCs/>
        </w:rPr>
        <w:t>Analysis datasets (A_ prefix — ADaM-equivalent analysis-ready data):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860"/>
      </w:tblGrid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ADaM Equivalent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A_EENDPT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ADTTE (primary)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OS endpoint: death indicator (dth), days to death/censor (dthdy), weeks (dthwk)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A_EENDES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ADTTE (detail)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Efficacy endpoint event descriptions and detail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lastRenderedPageBreak/>
              <w:t>A_EENDFU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ADTTE (follow-up)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Follow-up dates and last known alive information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A_SENDPT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ADSL + ADAE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Safety endpoints, cardiovascular/thromboembolic event flags, hemoglobin thresholds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A_LAB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ADLB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Laboratory values over time for all analytes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A_QOL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ADQOL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Quality of life scores: FACT-F, FACT-G, FACT-A, EQ-5D</w:t>
            </w:r>
          </w:p>
        </w:tc>
      </w:tr>
    </w:tbl>
    <w:p w:rsidR="00B32A7F" w:rsidRDefault="00B17098">
      <w:pPr>
        <w:pStyle w:val="Heading1"/>
      </w:pPr>
      <w:r>
        <w:t>5. Analysis Populations</w:t>
      </w:r>
    </w:p>
    <w:p w:rsidR="00B32A7F" w:rsidRDefault="00B17098">
      <w:pPr>
        <w:spacing w:after="160"/>
      </w:pPr>
      <w:r>
        <w:t>Three pre-specified analysis populations, consistent with ICH E9 guidance: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860"/>
      </w:tblGrid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Population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Primary Use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Intent-to-Treat (ITT)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All randomized patients, analyzed in their assigned arm regardless of actual treatment received or protocol deviations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Primary OS efficacy analysis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Safety Population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All patients who received at least one dose of study drug (darbepoetin alfa or placebo)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All adverse event and safety analyses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Per-Protocol (PP)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Patients completing treatment per protocol without major deviations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OS sensitivity analysis</w:t>
            </w:r>
          </w:p>
        </w:tc>
      </w:tr>
    </w:tbl>
    <w:p w:rsidR="00B32A7F" w:rsidRDefault="00B17098">
      <w:pPr>
        <w:spacing w:after="160"/>
      </w:pPr>
      <w:r>
        <w:rPr>
          <w:i/>
          <w:iCs/>
        </w:rPr>
        <w:t>Note: In a randomized trial, the ITT population is primary for efficacy because it preserves the integrity of randomization and reflects real-world prescribing con</w:t>
      </w:r>
      <w:r>
        <w:rPr>
          <w:i/>
          <w:iCs/>
        </w:rPr>
        <w:t>ditions where not all patients complete treatment as planned. The Per-Protocol population, while methodologically cleaner pharmacologically, introduces selection bias (only patients who tolerated and completed treatment are included) and is therefore a sen</w:t>
      </w:r>
      <w:r>
        <w:rPr>
          <w:i/>
          <w:iCs/>
        </w:rPr>
        <w:t>sitivity analysis only.</w:t>
      </w:r>
    </w:p>
    <w:p w:rsidR="00B32A7F" w:rsidRDefault="00B17098">
      <w:pPr>
        <w:pStyle w:val="Heading1"/>
      </w:pPr>
      <w:r>
        <w:t>6. ADSL Build Plan</w:t>
      </w:r>
    </w:p>
    <w:p w:rsidR="00B32A7F" w:rsidRDefault="00B17098">
      <w:pPr>
        <w:spacing w:after="160"/>
      </w:pPr>
      <w:r>
        <w:t>The subject-level analysis dataset (ADSL) will be constructed from the tabulation layer, mapping to CDISC ADaM ADSL conventions. One row per patient.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800"/>
        <w:gridCol w:w="2760"/>
      </w:tblGrid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ADSL Variable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Source Dataset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Source Variable / Derivation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Descr</w:t>
            </w:r>
            <w:r>
              <w:rPr>
                <w:b/>
                <w:bCs/>
                <w:color w:val="FFFFFF"/>
                <w:sz w:val="19"/>
                <w:szCs w:val="19"/>
              </w:rPr>
              <w:t>iption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USUBJID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C_KEYVAR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Patient identifier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Unique subject identifier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TRT01P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C_KEYVAR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Treatment arm assignment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Planned treatment: Darbepoetin Alfa or Placebo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TRT01A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C_KEYVAR / C_CHEMO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Actual treatment received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Actual treatment (may differ if never dosed)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RANDDT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C_KEYVAR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Randomization date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Date of randomization — Day 1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C_BCHAR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Age at randomization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Age in years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SEX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C_BCHAR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Sex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M / F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RACE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C_BCHAR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Race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Race category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ECOG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C_BCHAR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ECOG performance status at baseline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0-4 scale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lastRenderedPageBreak/>
              <w:t>ITTFL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C_KEYVAR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All randomized = 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ITT population flag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SAFFL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C_CHEMO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At least one dose = 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Safety population flag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PPFL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C_DISP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Derived from protocol deviation flags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Per-protocol flag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DTHFL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A_EENDPT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dth variable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Death indicator (Y/N)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DTHDY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A_EENDPT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dthdy variable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Days from randomization to death or censor</w:t>
            </w:r>
          </w:p>
        </w:tc>
      </w:tr>
    </w:tbl>
    <w:p w:rsidR="00B32A7F" w:rsidRDefault="00B17098">
      <w:pPr>
        <w:pStyle w:val="Heading1"/>
      </w:pPr>
      <w:r>
        <w:t>7. ADTTE Build Plan (OS Endpoint)</w:t>
      </w:r>
    </w:p>
    <w:p w:rsidR="00B32A7F" w:rsidRDefault="00B17098">
      <w:pPr>
        <w:spacing w:after="160"/>
      </w:pPr>
      <w:r>
        <w:t>The time-to-event analysis dataset (ADTTE) will contain one row per patient for the Overall Survival endpoint: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B32A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ADTTE 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b/>
                <w:bCs/>
                <w:color w:val="FFFFFF"/>
                <w:sz w:val="19"/>
                <w:szCs w:val="19"/>
              </w:rPr>
              <w:t>Derivation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USUBJID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A_EENDPT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Direct from dataset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PARAM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Derived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"Overall Survival"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PARAMCD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Derived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"OS"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AVAL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A_EENDPT / dthdy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Days from randomization to death or last known alive date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CNSR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A_EENDPT / dth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0 = event (death occurred), 1 = censored (alive at last contact)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EVNTDESC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A_EENDES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Description of event or censoring reason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STARTDT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C_KEYVAR / RANDDT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Randomization date</w:t>
            </w:r>
          </w:p>
        </w:tc>
      </w:tr>
      <w:tr w:rsidR="00B32A7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ADT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A_EENDPT / A_EENDFU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32A7F" w:rsidRDefault="00B17098">
            <w:r>
              <w:rPr>
                <w:sz w:val="19"/>
                <w:szCs w:val="19"/>
              </w:rPr>
              <w:t>Date of death or last known alive date</w:t>
            </w:r>
          </w:p>
        </w:tc>
      </w:tr>
    </w:tbl>
    <w:p w:rsidR="00B32A7F" w:rsidRDefault="00B17098">
      <w:pPr>
        <w:spacing w:after="160"/>
      </w:pPr>
      <w:r>
        <w:rPr>
          <w:i/>
          <w:iCs/>
        </w:rPr>
        <w:t xml:space="preserve">Censoring rules (pre-specified): patients alive at end of follow-up are censored at last known </w:t>
      </w:r>
      <w:r>
        <w:rPr>
          <w:i/>
          <w:iCs/>
        </w:rPr>
        <w:t>alive date. Patients lost to follow-up are censored at last contact date. These rules will be applied consistently and documented in the analysis code.</w:t>
      </w:r>
    </w:p>
    <w:p w:rsidR="00B32A7F" w:rsidRDefault="00B17098">
      <w:pPr>
        <w:pStyle w:val="Heading1"/>
      </w:pPr>
      <w:r>
        <w:t>8. Sample Size</w:t>
      </w:r>
    </w:p>
    <w:p w:rsidR="00B32A7F" w:rsidRDefault="00B17098">
      <w:pPr>
        <w:spacing w:after="160"/>
      </w:pPr>
      <w:r>
        <w:t>This is a secondary analysis of a completed trial — sample size was fixed by the original</w:t>
      </w:r>
      <w:r>
        <w:t xml:space="preserve"> trial design at N=600 (300 per arm). A post-hoc power assessment will be reported: assuming a median OS difference consistent with published ESA oncology trial literature (HR approximately 1.0–1.15, reflecting the null or slightly harmful direction subseq</w:t>
      </w:r>
      <w:r>
        <w:t>uently established), and using the observed number of OS events, we will report the achieved power for our primary analysis.</w:t>
      </w:r>
    </w:p>
    <w:p w:rsidR="00B32A7F" w:rsidRDefault="00B17098">
      <w:pPr>
        <w:pStyle w:val="Heading1"/>
      </w:pPr>
      <w:r>
        <w:t>9. Limitations</w:t>
      </w:r>
    </w:p>
    <w:p w:rsidR="00B32A7F" w:rsidRDefault="00B17098">
      <w:pPr>
        <w:pStyle w:val="ListParagraph"/>
        <w:numPr>
          <w:ilvl w:val="0"/>
          <w:numId w:val="2"/>
        </w:numPr>
        <w:spacing w:after="80"/>
      </w:pPr>
      <w:r>
        <w:t>This is a secondary analysis of de-identified data — original protocol deviations, site-level stratification details, and adjudication records are not available</w:t>
      </w:r>
    </w:p>
    <w:p w:rsidR="00B32A7F" w:rsidRDefault="00B17098">
      <w:pPr>
        <w:pStyle w:val="ListParagraph"/>
        <w:numPr>
          <w:ilvl w:val="0"/>
          <w:numId w:val="2"/>
        </w:numPr>
        <w:spacing w:after="80"/>
      </w:pPr>
      <w:r>
        <w:t>Dataset uses pre-ADaM CRT-style structure; variable derivations are reconstructed from the data</w:t>
      </w:r>
      <w:r>
        <w:t xml:space="preserve"> dictionary and may not identically replicate original Amgen analyses</w:t>
      </w:r>
    </w:p>
    <w:p w:rsidR="00B32A7F" w:rsidRDefault="00B17098">
      <w:pPr>
        <w:pStyle w:val="ListParagraph"/>
        <w:numPr>
          <w:ilvl w:val="0"/>
          <w:numId w:val="2"/>
        </w:numPr>
        <w:spacing w:after="80"/>
      </w:pPr>
      <w:r>
        <w:lastRenderedPageBreak/>
        <w:t>Used for methodological demonstration purposes; results should not be interpreted as novel clinical findings</w:t>
      </w:r>
    </w:p>
    <w:p w:rsidR="00B32A7F" w:rsidRDefault="00B17098">
      <w:pPr>
        <w:pStyle w:val="ListParagraph"/>
        <w:numPr>
          <w:ilvl w:val="0"/>
          <w:numId w:val="2"/>
        </w:numPr>
        <w:spacing w:after="80"/>
      </w:pPr>
      <w:r>
        <w:t xml:space="preserve">QoL and laboratory analyses are descriptive only given missing data patterns </w:t>
      </w:r>
      <w:r>
        <w:t>common in oncology trials</w:t>
      </w:r>
    </w:p>
    <w:p w:rsidR="00B32A7F" w:rsidRDefault="00B17098">
      <w:pPr>
        <w:pStyle w:val="Heading1"/>
      </w:pPr>
      <w:r>
        <w:t>10. Reporting Standards</w:t>
      </w:r>
    </w:p>
    <w:p w:rsidR="00B32A7F" w:rsidRDefault="00B17098">
      <w:pPr>
        <w:spacing w:after="160"/>
      </w:pPr>
      <w:r>
        <w:t>This analysis follows ICH E9 (Statistical Principles for Clinical Trials) guidance for population definitions, estimand framework, and sensitivity analysis structure. Reporting follows CONSORT guidelines fo</w:t>
      </w:r>
      <w:r>
        <w:t>r randomized trial reporting. Dataset handling follows CDISC ADaM Implementation Guide conventions.</w:t>
      </w:r>
    </w:p>
    <w:sectPr w:rsidR="00B32A7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7098" w:rsidRDefault="00B17098">
      <w:r>
        <w:separator/>
      </w:r>
    </w:p>
  </w:endnote>
  <w:endnote w:type="continuationSeparator" w:id="0">
    <w:p w:rsidR="00B17098" w:rsidRDefault="00B1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A7F" w:rsidRDefault="00B17098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12261D">
      <w:rPr>
        <w:color w:val="888888"/>
        <w:sz w:val="16"/>
        <w:szCs w:val="16"/>
      </w:rPr>
      <w:fldChar w:fldCharType="separate"/>
    </w:r>
    <w:r w:rsidR="0012261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7098" w:rsidRDefault="00B17098">
      <w:r>
        <w:separator/>
      </w:r>
    </w:p>
  </w:footnote>
  <w:footnote w:type="continuationSeparator" w:id="0">
    <w:p w:rsidR="00B17098" w:rsidRDefault="00B170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A7F" w:rsidRDefault="00B17098">
    <w:pPr>
      <w:tabs>
        <w:tab w:val="right" w:pos="9026"/>
      </w:tabs>
    </w:pPr>
    <w:r>
      <w:rPr>
        <w:color w:val="888888"/>
        <w:sz w:val="16"/>
        <w:szCs w:val="16"/>
      </w:rPr>
      <w:t>Study Protocol: Darbepoetin Alfa in Extensive-Stage SCLC (NCT00119613)</w:t>
    </w:r>
    <w:r>
      <w:rPr>
        <w:color w:val="888888"/>
        <w:sz w:val="16"/>
        <w:szCs w:val="16"/>
      </w:rPr>
      <w:tab/>
      <w:t xml:space="preserve">CONFIDENTIAL – </w:t>
    </w:r>
    <w:r>
      <w:rPr>
        <w:color w:val="888888"/>
        <w:sz w:val="16"/>
        <w:szCs w:val="16"/>
      </w:rPr>
      <w:t>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B6805"/>
    <w:multiLevelType w:val="hybridMultilevel"/>
    <w:tmpl w:val="9BA22D3A"/>
    <w:lvl w:ilvl="0" w:tplc="81D8C93C">
      <w:start w:val="1"/>
      <w:numFmt w:val="bullet"/>
      <w:lvlText w:val="•"/>
      <w:lvlJc w:val="left"/>
      <w:pPr>
        <w:ind w:left="720" w:hanging="360"/>
      </w:pPr>
    </w:lvl>
    <w:lvl w:ilvl="1" w:tplc="A62679EE">
      <w:numFmt w:val="decimal"/>
      <w:lvlText w:val=""/>
      <w:lvlJc w:val="left"/>
    </w:lvl>
    <w:lvl w:ilvl="2" w:tplc="235CDC9C">
      <w:numFmt w:val="decimal"/>
      <w:lvlText w:val=""/>
      <w:lvlJc w:val="left"/>
    </w:lvl>
    <w:lvl w:ilvl="3" w:tplc="E6169860">
      <w:numFmt w:val="decimal"/>
      <w:lvlText w:val=""/>
      <w:lvlJc w:val="left"/>
    </w:lvl>
    <w:lvl w:ilvl="4" w:tplc="3FD2E656">
      <w:numFmt w:val="decimal"/>
      <w:lvlText w:val=""/>
      <w:lvlJc w:val="left"/>
    </w:lvl>
    <w:lvl w:ilvl="5" w:tplc="F662B3E8">
      <w:numFmt w:val="decimal"/>
      <w:lvlText w:val=""/>
      <w:lvlJc w:val="left"/>
    </w:lvl>
    <w:lvl w:ilvl="6" w:tplc="835E2BB2">
      <w:numFmt w:val="decimal"/>
      <w:lvlText w:val=""/>
      <w:lvlJc w:val="left"/>
    </w:lvl>
    <w:lvl w:ilvl="7" w:tplc="9E6293C6">
      <w:numFmt w:val="decimal"/>
      <w:lvlText w:val=""/>
      <w:lvlJc w:val="left"/>
    </w:lvl>
    <w:lvl w:ilvl="8" w:tplc="8FAAD048">
      <w:numFmt w:val="decimal"/>
      <w:lvlText w:val=""/>
      <w:lvlJc w:val="left"/>
    </w:lvl>
  </w:abstractNum>
  <w:abstractNum w:abstractNumId="1">
    <w:nsid w:val="448606F5"/>
    <w:multiLevelType w:val="hybridMultilevel"/>
    <w:tmpl w:val="3F7287AE"/>
    <w:lvl w:ilvl="0" w:tplc="816C6D90">
      <w:start w:val="1"/>
      <w:numFmt w:val="bullet"/>
      <w:lvlText w:val="●"/>
      <w:lvlJc w:val="left"/>
      <w:pPr>
        <w:ind w:left="720" w:hanging="360"/>
      </w:pPr>
    </w:lvl>
    <w:lvl w:ilvl="1" w:tplc="B936E2A8">
      <w:start w:val="1"/>
      <w:numFmt w:val="bullet"/>
      <w:lvlText w:val="○"/>
      <w:lvlJc w:val="left"/>
      <w:pPr>
        <w:ind w:left="1440" w:hanging="360"/>
      </w:pPr>
    </w:lvl>
    <w:lvl w:ilvl="2" w:tplc="FF7857C0">
      <w:start w:val="1"/>
      <w:numFmt w:val="bullet"/>
      <w:lvlText w:val="■"/>
      <w:lvlJc w:val="left"/>
      <w:pPr>
        <w:ind w:left="2160" w:hanging="360"/>
      </w:pPr>
    </w:lvl>
    <w:lvl w:ilvl="3" w:tplc="D122C036">
      <w:start w:val="1"/>
      <w:numFmt w:val="bullet"/>
      <w:lvlText w:val="●"/>
      <w:lvlJc w:val="left"/>
      <w:pPr>
        <w:ind w:left="2880" w:hanging="360"/>
      </w:pPr>
    </w:lvl>
    <w:lvl w:ilvl="4" w:tplc="69E02BDE">
      <w:start w:val="1"/>
      <w:numFmt w:val="bullet"/>
      <w:lvlText w:val="○"/>
      <w:lvlJc w:val="left"/>
      <w:pPr>
        <w:ind w:left="3600" w:hanging="360"/>
      </w:pPr>
    </w:lvl>
    <w:lvl w:ilvl="5" w:tplc="477A81AA">
      <w:start w:val="1"/>
      <w:numFmt w:val="bullet"/>
      <w:lvlText w:val="■"/>
      <w:lvlJc w:val="left"/>
      <w:pPr>
        <w:ind w:left="4320" w:hanging="360"/>
      </w:pPr>
    </w:lvl>
    <w:lvl w:ilvl="6" w:tplc="E104D1EE">
      <w:start w:val="1"/>
      <w:numFmt w:val="bullet"/>
      <w:lvlText w:val="●"/>
      <w:lvlJc w:val="left"/>
      <w:pPr>
        <w:ind w:left="5040" w:hanging="360"/>
      </w:pPr>
    </w:lvl>
    <w:lvl w:ilvl="7" w:tplc="377AB43E">
      <w:start w:val="1"/>
      <w:numFmt w:val="bullet"/>
      <w:lvlText w:val="●"/>
      <w:lvlJc w:val="left"/>
      <w:pPr>
        <w:ind w:left="5760" w:hanging="360"/>
      </w:pPr>
    </w:lvl>
    <w:lvl w:ilvl="8" w:tplc="557AB9FA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96527F4"/>
    <w:multiLevelType w:val="hybridMultilevel"/>
    <w:tmpl w:val="E0FE2454"/>
    <w:lvl w:ilvl="0" w:tplc="FBCC744A">
      <w:start w:val="1"/>
      <w:numFmt w:val="decimal"/>
      <w:lvlText w:val="%1."/>
      <w:lvlJc w:val="left"/>
      <w:pPr>
        <w:ind w:left="720" w:hanging="360"/>
      </w:pPr>
    </w:lvl>
    <w:lvl w:ilvl="1" w:tplc="C268A39C">
      <w:numFmt w:val="decimal"/>
      <w:lvlText w:val=""/>
      <w:lvlJc w:val="left"/>
    </w:lvl>
    <w:lvl w:ilvl="2" w:tplc="0208601A">
      <w:numFmt w:val="decimal"/>
      <w:lvlText w:val=""/>
      <w:lvlJc w:val="left"/>
    </w:lvl>
    <w:lvl w:ilvl="3" w:tplc="5FB894E6">
      <w:numFmt w:val="decimal"/>
      <w:lvlText w:val=""/>
      <w:lvlJc w:val="left"/>
    </w:lvl>
    <w:lvl w:ilvl="4" w:tplc="D5BE595A">
      <w:numFmt w:val="decimal"/>
      <w:lvlText w:val=""/>
      <w:lvlJc w:val="left"/>
    </w:lvl>
    <w:lvl w:ilvl="5" w:tplc="58842956">
      <w:numFmt w:val="decimal"/>
      <w:lvlText w:val=""/>
      <w:lvlJc w:val="left"/>
    </w:lvl>
    <w:lvl w:ilvl="6" w:tplc="49301C2C">
      <w:numFmt w:val="decimal"/>
      <w:lvlText w:val=""/>
      <w:lvlJc w:val="left"/>
    </w:lvl>
    <w:lvl w:ilvl="7" w:tplc="3418EF60">
      <w:numFmt w:val="decimal"/>
      <w:lvlText w:val=""/>
      <w:lvlJc w:val="left"/>
    </w:lvl>
    <w:lvl w:ilvl="8" w:tplc="F11AF95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A7F"/>
    <w:rsid w:val="0012261D"/>
    <w:rsid w:val="00B17098"/>
    <w:rsid w:val="00B3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909737-F62B-4E64-BB9D-187096773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1B3A5C"/>
      </w:pBdr>
      <w:spacing w:before="320" w:after="20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qFormat/>
    <w:pPr>
      <w:spacing w:before="240" w:after="140"/>
      <w:outlineLvl w:val="1"/>
    </w:pPr>
    <w:rPr>
      <w:b/>
      <w:bCs/>
      <w:color w:val="1B3A5C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1406</Words>
  <Characters>8020</Characters>
  <Application>Microsoft Office Word</Application>
  <DocSecurity>0</DocSecurity>
  <Lines>66</Lines>
  <Paragraphs>18</Paragraphs>
  <ScaleCrop>false</ScaleCrop>
  <Company/>
  <LinksUpToDate>false</LinksUpToDate>
  <CharactersWithSpaces>9408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2026-06-26T06:28:00Z</dcterms:created>
  <dcterms:modified xsi:type="dcterms:W3CDTF">2026-06-26T07:00:00Z</dcterms:modified>
</cp:coreProperties>
</file>