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B3A5C"/>
          <w:sz w:val="40"/>
          <w:szCs w:val="40"/>
        </w:rPr>
        <w:t xml:space="preserve">STATISTICAL ANALYSIS PLAN (SAP)</w:t>
      </w:r>
    </w:p>
    <w:p>
      <w:pPr>
        <w:spacing w:after="300"/>
        <w:jc w:val="center"/>
      </w:pPr>
      <w:r>
        <w:rPr>
          <w:b/>
          <w:bCs/>
          <w:sz w:val="26"/>
          <w:szCs w:val="26"/>
        </w:rPr>
        <w:t xml:space="preserve">Efficacy and Safety of Darbepoetin Alfa in Extensive-Stage SCLC: Analysis of Phase 3 RCT (NCT00119613)</w:t>
      </w:r>
    </w:p>
    <w:p>
      <w:pPr>
        <w:spacing w:after="80"/>
        <w:jc w:val="center"/>
      </w:pPr>
      <w:r>
        <w:rPr>
          <w:i/>
          <w:iCs/>
          <w:sz w:val="22"/>
          <w:szCs w:val="22"/>
        </w:rPr>
        <w:t xml:space="preserve">SAP Version 1.0  |  June 2026  |  Companion to Protocol v1.0</w:t>
      </w:r>
    </w:p>
    <w:p>
      <w:pPr>
        <w:spacing w:after="400"/>
        <w:jc w:val="center"/>
      </w:pPr>
      <w:r>
        <w:rPr>
          <w:sz w:val="22"/>
          <w:szCs w:val="22"/>
        </w:rPr>
        <w:t xml:space="preserve">Prepared by: Sukhesh Sudan, MPH, BDS</w:t>
      </w:r>
    </w:p>
    <w:p>
      <w:pPr>
        <w:pageBreakBefore/>
      </w:pPr>
    </w:p>
    <w:p>
      <w:pPr>
        <w:pStyle w:val="Heading1"/>
      </w:pPr>
      <w:r>
        <w:t xml:space="preserve">1. Purpose &amp; Scope</w:t>
      </w:r>
    </w:p>
    <w:p>
      <w:pPr>
        <w:spacing w:after="160"/>
      </w:pPr>
      <w:r>
        <w:t xml:space="preserve">This SAP specifies all statistical methods, analysis populations, and TFL (Tables, Figures, Listings) outputs for the secondary analysis defined in Study Protocol v1.0. Per ICH E9 guidance and standard industry practice, this document is finalized prior to unblinding or analysis of the dataset, ensuring all analytical decisions are pre-specified and not influenced by knowledge of results.</w:t>
      </w:r>
    </w:p>
    <w:p>
      <w:pPr>
        <w:pStyle w:val="Heading1"/>
      </w:pPr>
      <w:r>
        <w:t xml:space="preserve">2. Analysis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Population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Definition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Source Flag</w:t>
            </w:r>
          </w:p>
        </w:tc>
        <w:tc>
          <w:tcPr>
            <w:tcW w:type="dxa" w:w="23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Primary Use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Intent-to-Treat (ITT)</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All randomized patients analyzed in assigned arm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ITTFL=Y from C_KEYVAR (all randomized)</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Primary OS efficacy analysis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Safety Population</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All patients receiving at least one dose of study drug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SAFFL=Y from C_CHEMO (at least one dose)</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All AE/safety analyses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Per-Protocol (PP)</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Patients completing treatment without major protocol deviations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PPFL=Y derived from C_DISP</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OS sensitivity analysis</w:t>
            </w:r>
          </w:p>
        </w:tc>
      </w:tr>
    </w:tbl>
    <w:p>
      <w:pPr>
        <w:pStyle w:val="Heading1"/>
      </w:pPr>
      <w:r>
        <w:t xml:space="preserve">3. Software &amp; Reproducibility</w:t>
      </w:r>
    </w:p>
    <w:p>
      <w:pPr>
        <w:spacing w:after="160"/>
      </w:pPr>
      <w:r>
        <w:t xml:space="preserve">All analyses conducted in R (version 4.3.3 or later). Key packages:</w:t>
      </w:r>
    </w:p>
    <w:p>
      <w:pPr>
        <w:pStyle w:val="ListParagraph"/>
        <w:numPr>
          <w:ilvl w:val="0"/>
          <w:numId w:val="2"/>
        </w:numPr>
        <w:spacing w:after="80"/>
      </w:pPr>
      <w:r>
        <w:t xml:space="preserve">haven (&gt;=2.5) — read SAS .sas7bdat files</w:t>
      </w:r>
    </w:p>
    <w:p>
      <w:pPr>
        <w:pStyle w:val="ListParagraph"/>
        <w:numPr>
          <w:ilvl w:val="0"/>
          <w:numId w:val="2"/>
        </w:numPr>
        <w:spacing w:after="80"/>
      </w:pPr>
      <w:r>
        <w:t xml:space="preserve">dplyr, tidyr — dataset construction and manipulation</w:t>
      </w:r>
    </w:p>
    <w:p>
      <w:pPr>
        <w:pStyle w:val="ListParagraph"/>
        <w:numPr>
          <w:ilvl w:val="0"/>
          <w:numId w:val="2"/>
        </w:numPr>
        <w:spacing w:after="80"/>
      </w:pPr>
      <w:r>
        <w:t xml:space="preserve">survival (&gt;=3.5) — Kaplan-Meier estimation, log-rank test, Cox PH model</w:t>
      </w:r>
    </w:p>
    <w:p>
      <w:pPr>
        <w:pStyle w:val="ListParagraph"/>
        <w:numPr>
          <w:ilvl w:val="0"/>
          <w:numId w:val="2"/>
        </w:numPr>
        <w:spacing w:after="80"/>
      </w:pPr>
      <w:r>
        <w:t xml:space="preserve">survminer / ggplot2 — KM curve visualization with number-at-risk table</w:t>
      </w:r>
    </w:p>
    <w:p>
      <w:pPr>
        <w:pStyle w:val="ListParagraph"/>
        <w:numPr>
          <w:ilvl w:val="0"/>
          <w:numId w:val="2"/>
        </w:numPr>
        <w:spacing w:after="80"/>
      </w:pPr>
      <w:r>
        <w:t xml:space="preserve">gtsummary or tableone — Table 1 baseline characteristics</w:t>
      </w:r>
    </w:p>
    <w:p>
      <w:pPr>
        <w:spacing w:after="160"/>
      </w:pPr>
      <w:r>
        <w:rPr>
          <w:i/>
          <w:iCs/>
        </w:rPr>
        <w:t xml:space="preserve">Random seed: set.seed(2026) for any stochastic procedures. All code version-controlled on GitHub.</w:t>
      </w:r>
    </w:p>
    <w:p>
      <w:pPr>
        <w:pStyle w:val="Heading1"/>
      </w:pPr>
      <w:r>
        <w:t xml:space="preserve">4. ADSL Construction</w:t>
      </w:r>
    </w:p>
    <w:p>
      <w:pPr>
        <w:spacing w:after="160"/>
      </w:pPr>
      <w:r>
        <w:t xml:space="preserve">Prior to any analysis, ADSL will be constructed from the tabulation layer (C_ prefix datasets) and merged with key variables from the analysis layer (A_ prefix datasets). Full variable mapping specified in Protocol Section 6. Key derivations:</w:t>
      </w:r>
    </w:p>
    <w:p>
      <w:pPr>
        <w:pStyle w:val="ListParagraph"/>
        <w:numPr>
          <w:ilvl w:val="0"/>
          <w:numId w:val="2"/>
        </w:numPr>
        <w:spacing w:after="80"/>
      </w:pPr>
      <w:r>
        <w:t xml:space="preserve">ITTFL: all patients in C_KEYVAR = Y (all are randomized by definition)</w:t>
      </w:r>
    </w:p>
    <w:p>
      <w:pPr>
        <w:pStyle w:val="ListParagraph"/>
        <w:numPr>
          <w:ilvl w:val="0"/>
          <w:numId w:val="2"/>
        </w:numPr>
        <w:spacing w:after="80"/>
      </w:pPr>
      <w:r>
        <w:t xml:space="preserve">SAFFL: Y if patient has at least one record in C_CHEMO with dose &gt; 0</w:t>
      </w:r>
    </w:p>
    <w:p>
      <w:pPr>
        <w:pStyle w:val="ListParagraph"/>
        <w:numPr>
          <w:ilvl w:val="0"/>
          <w:numId w:val="2"/>
        </w:numPr>
        <w:spacing w:after="80"/>
      </w:pPr>
      <w:r>
        <w:t xml:space="preserve">PPFL: Y if C_DISP shows no major protocol deviation flag</w:t>
      </w:r>
    </w:p>
    <w:p>
      <w:pPr>
        <w:pStyle w:val="ListParagraph"/>
        <w:numPr>
          <w:ilvl w:val="0"/>
          <w:numId w:val="2"/>
        </w:numPr>
        <w:spacing w:after="80"/>
      </w:pPr>
      <w:r>
        <w:t xml:space="preserve">DTHDY: pulled directly from A_EENDPT dthdy variable (days from randomization to death or censor)</w:t>
      </w:r>
    </w:p>
    <w:p>
      <w:pPr>
        <w:pStyle w:val="ListParagraph"/>
        <w:numPr>
          <w:ilvl w:val="0"/>
          <w:numId w:val="2"/>
        </w:numPr>
        <w:spacing w:after="80"/>
      </w:pPr>
      <w:r>
        <w:t xml:space="preserve">DTHFL: pulled from A_EENDPT dth variable (1=death, 0=censored)</w:t>
      </w:r>
    </w:p>
    <w:p>
      <w:pPr>
        <w:pStyle w:val="Heading1"/>
      </w:pPr>
      <w:r>
        <w:t xml:space="preserve">5. Primary Efficacy Analysis — Overall Survival</w:t>
      </w:r>
    </w:p>
    <w:p>
      <w:pPr>
        <w:pStyle w:val="Heading2"/>
      </w:pPr>
      <w:r>
        <w:t xml:space="preserve">5.1 Endpoint Definition</w:t>
      </w:r>
    </w:p>
    <w:p>
      <w:pPr>
        <w:spacing w:after="160"/>
      </w:pPr>
      <w:r>
        <w:t xml:space="preserve">Overall Survival (OS): time in days from randomization date to death from any cause. Patients alive at end of follow-up or lost to follow-up are censored at their last known alive date.</w:t>
      </w:r>
    </w:p>
    <w:p>
      <w:pPr>
        <w:pStyle w:val="Heading2"/>
      </w:pPr>
      <w:r>
        <w:t xml:space="preserve">5.2 Censoring Rules (pre-specified)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Scenario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Censoring Date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CNSR Value</w:t>
            </w:r>
          </w:p>
        </w:tc>
      </w:tr>
      <w:tr>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Death occurred</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Date of death</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0 (event)</w:t>
            </w:r>
          </w:p>
        </w:tc>
      </w:tr>
      <w:tr>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Alive at end of study follow-up</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Last known alive date</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1 (censored)</w:t>
            </w:r>
          </w:p>
        </w:tc>
      </w:tr>
      <w:tr>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Lost to follow-up</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Last contact date from C_DISP</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1 (censored)</w:t>
            </w:r>
          </w:p>
        </w:tc>
      </w:tr>
      <w:tr>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Withdrew consent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Date of withdrawal</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1 (censored)</w:t>
            </w:r>
          </w:p>
        </w:tc>
      </w:tr>
    </w:tbl>
    <w:p>
      <w:pPr>
        <w:pStyle w:val="Heading2"/>
      </w:pPr>
      <w:r>
        <w:t xml:space="preserve">5.3 Statistical Methods</w:t>
      </w:r>
    </w:p>
    <w:p>
      <w:pPr>
        <w:pStyle w:val="ListParagraph"/>
        <w:numPr>
          <w:ilvl w:val="0"/>
          <w:numId w:val="2"/>
        </w:numPr>
        <w:spacing w:after="80"/>
      </w:pPr>
      <w:r>
        <w:t xml:space="preserve">Kaplan-Meier estimation of OS probability over time, by treatment arm (ITT population)</w:t>
      </w:r>
    </w:p>
    <w:p>
      <w:pPr>
        <w:pStyle w:val="ListParagraph"/>
        <w:numPr>
          <w:ilvl w:val="0"/>
          <w:numId w:val="2"/>
        </w:numPr>
        <w:spacing w:after="80"/>
      </w:pPr>
      <w:r>
        <w:t xml:space="preserve">Log-rank test for comparison between arms (two-sided alpha = 0.05)</w:t>
      </w:r>
    </w:p>
    <w:p>
      <w:pPr>
        <w:pStyle w:val="ListParagraph"/>
        <w:numPr>
          <w:ilvl w:val="0"/>
          <w:numId w:val="2"/>
        </w:numPr>
        <w:spacing w:after="80"/>
      </w:pPr>
      <w:r>
        <w:t xml:space="preserve">Cox proportional hazards model: Surv(DTHDY, DTHFL) ~ TRT01P — hazard ratio with 95% CI</w:t>
      </w:r>
    </w:p>
    <w:p>
      <w:pPr>
        <w:pStyle w:val="ListParagraph"/>
        <w:numPr>
          <w:ilvl w:val="0"/>
          <w:numId w:val="2"/>
        </w:numPr>
        <w:spacing w:after="80"/>
      </w:pPr>
      <w:r>
        <w:t xml:space="preserve">Median OS with 95% CI (Brookmeyer-Crowley method) for each arm</w:t>
      </w:r>
    </w:p>
    <w:p>
      <w:pPr>
        <w:pStyle w:val="ListParagraph"/>
        <w:numPr>
          <w:ilvl w:val="0"/>
          <w:numId w:val="2"/>
        </w:numPr>
        <w:spacing w:after="80"/>
      </w:pPr>
      <w:r>
        <w:t xml:space="preserve">Proportional hazards assumption tested via Schoenfeld residuals (cox.zph)</w:t>
      </w:r>
    </w:p>
    <w:p>
      <w:pPr>
        <w:pStyle w:val="Heading2"/>
      </w:pPr>
      <w:r>
        <w:t xml:space="preserve">5.4 Sensitivity Analysis</w:t>
      </w:r>
    </w:p>
    <w:p>
      <w:pPr>
        <w:pStyle w:val="ListParagraph"/>
        <w:numPr>
          <w:ilvl w:val="0"/>
          <w:numId w:val="2"/>
        </w:numPr>
        <w:spacing w:after="80"/>
      </w:pPr>
      <w:r>
        <w:t xml:space="preserve">Per-Protocol population: repeat primary OS analysis on PP subset</w:t>
      </w:r>
    </w:p>
    <w:p>
      <w:pPr>
        <w:pStyle w:val="ListParagraph"/>
        <w:numPr>
          <w:ilvl w:val="0"/>
          <w:numId w:val="2"/>
        </w:numPr>
        <w:spacing w:after="80"/>
      </w:pPr>
      <w:r>
        <w:t xml:space="preserve">Landmark analysis at 6 months: survival probability at 6 months by arm</w:t>
      </w:r>
    </w:p>
    <w:p>
      <w:pPr>
        <w:pStyle w:val="Heading1"/>
      </w:pPr>
      <w:r>
        <w:t xml:space="preserve">6. Secondary Analyses</w:t>
      </w:r>
    </w:p>
    <w:p>
      <w:pPr>
        <w:pStyle w:val="Heading2"/>
      </w:pPr>
      <w:r>
        <w:t xml:space="preserve">6.1 Safety — Adverse Event Summary</w:t>
      </w:r>
    </w:p>
    <w:p>
      <w:pPr>
        <w:spacing w:after="160"/>
      </w:pPr>
      <w:r>
        <w:t xml:space="preserve">Population: Safety Population. Analysis:</w:t>
      </w:r>
    </w:p>
    <w:p>
      <w:pPr>
        <w:pStyle w:val="ListParagraph"/>
        <w:numPr>
          <w:ilvl w:val="0"/>
          <w:numId w:val="2"/>
        </w:numPr>
        <w:spacing w:after="80"/>
      </w:pPr>
      <w:r>
        <w:t xml:space="preserve">Incidence of any AE by treatment arm: n (%)</w:t>
      </w:r>
    </w:p>
    <w:p>
      <w:pPr>
        <w:pStyle w:val="ListParagraph"/>
        <w:numPr>
          <w:ilvl w:val="0"/>
          <w:numId w:val="2"/>
        </w:numPr>
        <w:spacing w:after="80"/>
      </w:pPr>
      <w:r>
        <w:t xml:space="preserve">Incidence by CTCAE Grade (1-5) and arm: n (%)</w:t>
      </w:r>
    </w:p>
    <w:p>
      <w:pPr>
        <w:pStyle w:val="ListParagraph"/>
        <w:numPr>
          <w:ilvl w:val="0"/>
          <w:numId w:val="2"/>
        </w:numPr>
        <w:spacing w:after="80"/>
      </w:pPr>
      <w:r>
        <w:t xml:space="preserve">Incidence of Serious Adverse Events (SAEs) by arm: n (%)</w:t>
      </w:r>
    </w:p>
    <w:p>
      <w:pPr>
        <w:pStyle w:val="ListParagraph"/>
        <w:numPr>
          <w:ilvl w:val="0"/>
          <w:numId w:val="2"/>
        </w:numPr>
        <w:spacing w:after="80"/>
      </w:pPr>
      <w:r>
        <w:t xml:space="preserve">Incidence of cardiovascular/thromboembolic events (from A_SENDPT flags) by arm: n (%)</w:t>
      </w:r>
    </w:p>
    <w:p>
      <w:pPr>
        <w:pStyle w:val="ListParagraph"/>
        <w:numPr>
          <w:ilvl w:val="0"/>
          <w:numId w:val="2"/>
        </w:numPr>
        <w:spacing w:after="80"/>
      </w:pPr>
      <w:r>
        <w:t xml:space="preserve">Most frequent AEs (occurring in &gt;=5% of patients in either arm): preferred term, n (%) by arm</w:t>
      </w:r>
    </w:p>
    <w:p>
      <w:pPr>
        <w:pStyle w:val="Heading2"/>
      </w:pPr>
      <w:r>
        <w:t xml:space="preserve">6.2 Hematologic Response — Hemoglobin</w:t>
      </w:r>
    </w:p>
    <w:p>
      <w:pPr>
        <w:spacing w:after="160"/>
      </w:pPr>
      <w:r>
        <w:t xml:space="preserve">Population: Safety Population. From C_HEMAT and A_LAB:</w:t>
      </w:r>
    </w:p>
    <w:p>
      <w:pPr>
        <w:pStyle w:val="ListParagraph"/>
        <w:numPr>
          <w:ilvl w:val="0"/>
          <w:numId w:val="2"/>
        </w:numPr>
        <w:spacing w:after="80"/>
      </w:pPr>
      <w:r>
        <w:t xml:space="preserve">Mean (SD) hemoglobin by visit and arm — descriptive longitudinal summary</w:t>
      </w:r>
    </w:p>
    <w:p>
      <w:pPr>
        <w:pStyle w:val="ListParagraph"/>
        <w:numPr>
          <w:ilvl w:val="0"/>
          <w:numId w:val="2"/>
        </w:numPr>
        <w:spacing w:after="80"/>
      </w:pPr>
      <w:r>
        <w:t xml:space="preserve">Proportion achieving hemoglobin &gt;= 12 g/dL by arm at each assessment (pre-specified threshold per original ESA trial conventions)</w:t>
      </w:r>
    </w:p>
    <w:p>
      <w:pPr>
        <w:pStyle w:val="Heading2"/>
      </w:pPr>
      <w:r>
        <w:t xml:space="preserve">6.3 Quality of Life</w:t>
      </w:r>
    </w:p>
    <w:p>
      <w:pPr>
        <w:spacing w:after="160"/>
      </w:pPr>
      <w:r>
        <w:t xml:space="preserve">Population: ITT patients with at least one post-baseline QoL assessment. From A_QOL:</w:t>
      </w:r>
    </w:p>
    <w:p>
      <w:pPr>
        <w:pStyle w:val="ListParagraph"/>
        <w:numPr>
          <w:ilvl w:val="0"/>
          <w:numId w:val="2"/>
        </w:numPr>
        <w:spacing w:after="80"/>
      </w:pPr>
      <w:r>
        <w:t xml:space="preserve">FACT-F (Fatigue subscale) and FACT-G (General): mean score at baseline, Cycle 3, and End of Treatment by arm</w:t>
      </w:r>
    </w:p>
    <w:p>
      <w:pPr>
        <w:pStyle w:val="ListParagraph"/>
        <w:numPr>
          <w:ilvl w:val="0"/>
          <w:numId w:val="2"/>
        </w:numPr>
        <w:spacing w:after="80"/>
      </w:pPr>
      <w:r>
        <w:t xml:space="preserve">EQ-5D utility score: mean at baseline and end of treatment by arm</w:t>
      </w:r>
    </w:p>
    <w:p>
      <w:pPr>
        <w:pStyle w:val="ListParagraph"/>
        <w:numPr>
          <w:ilvl w:val="0"/>
          <w:numId w:val="2"/>
        </w:numPr>
        <w:spacing w:after="80"/>
      </w:pPr>
      <w:r>
        <w:t xml:space="preserve">All QoL analyses descriptive only — not powered for formal hypothesis testing</w:t>
      </w:r>
    </w:p>
    <w:p>
      <w:pPr>
        <w:pStyle w:val="Heading1"/>
      </w:pPr>
      <w:r>
        <w:t xml:space="preserve">7. TFL Shells</w:t>
      </w:r>
    </w:p>
    <w:p>
      <w:pPr>
        <w:pStyle w:val="Heading2"/>
      </w:pPr>
      <w:r>
        <w:t xml:space="preserve">Table 1. Baseline Characteristics (ITT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60"/>
        <w:gridCol w:w="1960"/>
        <w:gridCol w:w="1880"/>
      </w:tblGrid>
      <w:tr>
        <w:tc>
          <w:tcPr>
            <w:tcW w:type="dxa" w:w="3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Characteristic</w:t>
            </w:r>
          </w:p>
        </w:tc>
        <w:tc>
          <w:tcPr>
            <w:tcW w:type="dxa" w:w="19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Darbepoetin Alfa (n=300)</w:t>
            </w:r>
          </w:p>
        </w:tc>
        <w:tc>
          <w:tcPr>
            <w:tcW w:type="dxa" w:w="19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Placebo (n=300)</w:t>
            </w:r>
          </w:p>
        </w:tc>
        <w:tc>
          <w:tcPr>
            <w:tcW w:type="dxa" w:w="18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Total (N=600)</w:t>
            </w:r>
          </w:p>
        </w:tc>
      </w:tr>
      <w:tr>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Age, years, mean (SD)</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Sex, Female, n (%)</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Race, White, n (%)</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ECOG Performance Status 0-1, n (%)</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ECOG Performance Status 2+, n (%)</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Baseline Hemoglobin, g/dL, mean (SD)</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Prior chemotherapy, n (%)</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bl>
    <w:p>
      <w:pPr>
        <w:spacing w:before="240"/>
      </w:pPr>
    </w:p>
    <w:p>
      <w:pPr>
        <w:pStyle w:val="Heading2"/>
      </w:pPr>
      <w:r>
        <w:t xml:space="preserve">Table 2. Primary OS Results (ITT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800"/>
        <w:gridCol w:w="1400"/>
      </w:tblGrid>
      <w:tr>
        <w:tc>
          <w:tcPr>
            <w:tcW w:type="dxa" w:w="29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Darbepoetin Alfa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Placebo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HR (95% CI)</w:t>
            </w:r>
          </w:p>
        </w:tc>
        <w:tc>
          <w:tcPr>
            <w:tcW w:type="dxa" w:w="1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p-value</w:t>
            </w:r>
          </w:p>
        </w:tc>
      </w:tr>
      <w:tr>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Median OS, months (95% CI)</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6-month OS probability (%)</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12-month OS probability (%)</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Events, n (%)</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bl>
    <w:p>
      <w:pPr>
        <w:spacing w:before="240"/>
      </w:pPr>
    </w:p>
    <w:p>
      <w:pPr>
        <w:pStyle w:val="Heading2"/>
      </w:pPr>
      <w:r>
        <w:t xml:space="preserve">Table 3. Adverse Event Summary (Safety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AE 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Darbepoetin Alfa n (%)</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Placebo n (%)</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b/>
                <w:bCs/>
                <w:color w:val="FFFFFF"/>
                <w:sz w:val="19"/>
                <w:szCs w:val="19"/>
              </w:rPr>
              <w:t xml:space="preserve">Difference (%)</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Any AE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Any Grade 3+ AE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Any Grade 4+ AE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Any Serious AE (SAE)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Cardiovascular/thromboembolic event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AE leading to discontinuation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9"/>
                <w:szCs w:val="19"/>
              </w:rPr>
              <w:t xml:space="preserve">—</w:t>
            </w:r>
          </w:p>
        </w:tc>
      </w:tr>
    </w:tbl>
    <w:p>
      <w:pPr>
        <w:spacing w:before="240"/>
      </w:pPr>
    </w:p>
    <w:p>
      <w:pPr>
        <w:pStyle w:val="Heading2"/>
      </w:pPr>
      <w:r>
        <w:t xml:space="preserve">Figure 1. Kaplan-Meier Curve — Overall Survival by Treatment Arm (ITT)</w:t>
      </w:r>
    </w:p>
    <w:p>
      <w:pPr>
        <w:spacing w:after="160"/>
      </w:pPr>
      <w:r>
        <w:rPr>
          <w:i/>
          <w:iCs/>
        </w:rPr>
        <w:t xml:space="preserve">KM curves for darbepoetin alfa and placebo arms; 95% CI bands; number-at-risk table below x-axis at 0, 3, 6, 9, 12, 18, 24 months; median OS marked with horizontal reference line.</w:t>
      </w:r>
    </w:p>
    <w:p>
      <w:pPr>
        <w:pStyle w:val="Heading2"/>
      </w:pPr>
      <w:r>
        <w:t xml:space="preserve">Figure 2. Forest Plot — OS Subgroup Analysis</w:t>
      </w:r>
    </w:p>
    <w:p>
      <w:pPr>
        <w:spacing w:after="160"/>
      </w:pPr>
      <w:r>
        <w:rPr>
          <w:i/>
          <w:iCs/>
        </w:rPr>
        <w:t xml:space="preserve">Pre-specified subgroups: ECOG 0-1 vs 2+, sex, age (&lt;65 vs &gt;=65). HR with 95% CI per subgroup, interaction p-value.</w:t>
      </w:r>
    </w:p>
    <w:p>
      <w:pPr>
        <w:pStyle w:val="Heading2"/>
      </w:pPr>
      <w:r>
        <w:t xml:space="preserve">Figure 3. Mean Hemoglobin Over Time by Treatment Arm</w:t>
      </w:r>
    </w:p>
    <w:p>
      <w:pPr>
        <w:spacing w:after="160"/>
      </w:pPr>
      <w:r>
        <w:rPr>
          <w:i/>
          <w:iCs/>
        </w:rPr>
        <w:t xml:space="preserve">Line plot of mean hemoglobin (g/dL) at each scheduled assessment visit, by arm, with 95% CI error bars. Safety population.</w:t>
      </w:r>
    </w:p>
    <w:p>
      <w:pPr>
        <w:pStyle w:val="Heading1"/>
      </w:pPr>
      <w:r>
        <w:t xml:space="preserve">8. Missing Data</w:t>
      </w:r>
    </w:p>
    <w:p>
      <w:pPr>
        <w:spacing w:after="160"/>
      </w:pPr>
      <w:r>
        <w:t xml:space="preserve">QoL and laboratory analyses: missing values handled descriptively (observed data only); no imputation for secondary/exploratory analyses. OS analysis: censoring of patients with missing death dates at last known alive date per Section 5.2 censoring rules.</w:t>
      </w:r>
    </w:p>
    <w:p>
      <w:pPr>
        <w:pStyle w:val="Heading1"/>
      </w:pPr>
      <w:r>
        <w:t xml:space="preserve">9. Multiplicity</w:t>
      </w:r>
    </w:p>
    <w:p>
      <w:pPr>
        <w:spacing w:after="160"/>
      </w:pPr>
      <w:r>
        <w:t xml:space="preserve">Primary analysis (OS, ITT) is the single confirmatory analysis at two-sided alpha = 0.05. All secondary analyses (safety, QoL, hemoglobin) are descriptive and exploratory; no alpha adjustment is applied. Subgroup analyses in Figure 2 are exploratory only and should not be interpreted as confirmatory.</w:t>
      </w:r>
    </w:p>
    <w:p>
      <w:pPr>
        <w:pStyle w:val="Heading1"/>
      </w:pPr>
      <w:r>
        <w:t xml:space="preserve">10. Protocol Deviations Log</w:t>
      </w:r>
    </w:p>
    <w:p>
      <w:pPr>
        <w:spacing w:after="160"/>
      </w:pPr>
      <w:r>
        <w:t xml:space="preserve">Any deviation from this SAP occurring after the analysis dataset is locked will be documented with date, rationale, and whether the deviation occurred with or without prior knowledge of results — consistent with ICH E9 and regulatory expectations for analysis transparency.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SAP: Darbepoetin Alfa in Extensive-Stage SCLC (NCT00119613)</w:t>
    </w:r>
    <w:r>
      <w:rPr>
        <w:color w:val="888888"/>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6" w:space="4"/>
      </w:pBdr>
      <w:spacing w:after="20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2026-06-26T06:28:43.279Z</dcterms:created>
  <dcterms:modified xsi:type="dcterms:W3CDTF">2026-06-26T06:28:43.279Z</dcterms:modified>
</cp:coreProperties>
</file>

<file path=docProps/custom.xml><?xml version="1.0" encoding="utf-8"?>
<Properties xmlns="http://schemas.openxmlformats.org/officeDocument/2006/custom-properties" xmlns:vt="http://schemas.openxmlformats.org/officeDocument/2006/docPropsVTypes"/>
</file>