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E293B"/>
          <w:sz w:val="56"/>
          <w:szCs w:val="56"/>
        </w:rPr>
        <w:t xml:space="preserve">FOUNDRY COLLECTIVE</w:t>
      </w:r>
    </w:p>
    <w:p>
      <w:pPr>
        <w:spacing w:after="400" w:before="200"/>
        <w:jc w:val="center"/>
      </w:pPr>
      <w:r>
        <w:rPr>
          <w:i/>
          <w:iCs/>
          <w:color w:val="2E75B6"/>
          <w:sz w:val="26"/>
          <w:szCs w:val="26"/>
        </w:rPr>
        <w:t xml:space="preserve">A portable marketing department, built for one marketer to run anywhere</w:t>
      </w:r>
    </w:p>
    <w:p>
      <w:pPr>
        <w:pBdr>
          <w:bottom w:val="single" w:color="2E75B6" w:sz="6" w:space="4"/>
        </w:pBdr>
        <w:spacing w:after="600"/>
      </w:pPr>
    </w:p>
    <w:p>
      <w:pPr>
        <w:spacing w:after="120"/>
        <w:jc w:val="center"/>
      </w:pPr>
      <w:r>
        <w:rPr>
          <w:color w:val="475569"/>
          <w:sz w:val="22"/>
          <w:szCs w:val="22"/>
        </w:rPr>
        <w:t xml:space="preserve">Project overview — prepared for a colleague walkthrough</w:t>
      </w:r>
    </w:p>
    <w:p>
      <w:pPr>
        <w:jc w:val="center"/>
      </w:pPr>
      <w:r>
        <w:rPr>
          <w:color w:val="475569"/>
          <w:sz w:val="22"/>
          <w:szCs w:val="22"/>
        </w:rPr>
        <w:t xml:space="preserve">July 2026</w:t>
      </w:r>
    </w:p>
    <w:p>
      <w:pPr>
        <w:pStyle w:val="Heading1"/>
        <w:pageBreakBefore/>
      </w:pPr>
      <w:r>
        <w:t xml:space="preserve">What This Is</w:t>
      </w:r>
    </w:p>
    <w:p>
      <w:pPr>
        <w:spacing w:after="160"/>
      </w:pPr>
      <w:r>
        <w:t xml:space="preserve">Foundry Collective is a personal, portable marketing operating system, built on Claude. It functions as a full marketing department for one person — not a tool tied to a single employer or client roster.</w:t>
      </w:r>
    </w:p>
    <w:p>
      <w:pPr>
        <w:spacing w:after="160"/>
      </w:pPr>
      <w:r>
        <w:rPr>
          <w:i/>
          <w:iCs/>
          <w:color w:val="475569"/>
        </w:rPr>
        <w:t xml:space="preserve">Foundry Collective is the name of the system itself. The underlying workspace folder and files are still named “AI Marketing Team Master” — that’s the technical name; Foundry Collective is what it’s called in conversation.</w:t>
      </w:r>
    </w:p>
    <w:p>
      <w:pPr>
        <w:spacing w:after="160"/>
      </w:pPr>
      <w:r>
        <w:t xml:space="preserve">Instead of one general-purpose assistant, the system is organized as a team: 13 specialized sub-agents, each owning a marketing function — campaign strategy, content, creative, SEO, PR, social, lead generation, podcast and webinar programs, and more. Together they produce the full range of what a marketing org needs: strategy documents, written content, ad and social creative, research, and performance reports.</w:t>
      </w:r>
    </w:p>
    <w:p>
      <w:pPr>
        <w:spacing w:after="160"/>
      </w:pPr>
      <w:r>
        <w:rPr>
          <w:b/>
          <w:bCs/>
        </w:rPr>
        <w:t xml:space="preserve">The defining idea is portability.</w:t>
      </w:r>
    </w:p>
    <w:p>
      <w:pPr>
        <w:spacing w:after="160"/>
      </w:pPr>
      <w:r>
        <w:t xml:space="preserve">The system is designed to move with its owner across employers. When the job changes, the brand context is swapped out and every agent and skill adapts automatically — no rebuilding, no hardcoded company details anywhere in the system.</w:t>
      </w:r>
    </w:p>
    <w:p>
      <w:pPr>
        <w:pStyle w:val="Heading1"/>
        <w:pageBreakBefore/>
      </w:pPr>
      <w:r>
        <w:t xml:space="preserve">Why It Exists</w:t>
      </w:r>
    </w:p>
    <w:p>
      <w:pPr>
        <w:spacing w:after="160"/>
      </w:pPr>
      <w:r>
        <w:t xml:space="preserve">Most AI marketing tooling is built the other way around: a vendor's product, configured per client, discarded when the engagement ends. This system inverts that. It belongs to the marketer, not to any one employer.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Built once, reused indefinitely: </w:t>
      </w:r>
      <w:r>
        <w:t xml:space="preserve">Career-length asset, not a project-length one — the same 13-agent team, skill library, and workflows carry forward from role to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One context swap, full re-grounding: </w:t>
      </w:r>
      <w:r>
        <w:t xml:space="preserve">A single set of six context files defines the active employer's positioning, voice, visual style, product line, and growth goals. Replace those six files and the entire system re-grounds itself.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hardcoded brand anywhere: </w:t>
      </w:r>
      <w:r>
        <w:t xml:space="preserve">There is no client roster, no billing layer, no multi-tenant data model — because there is only ever one active brand: whichever organization the owner currently works for.</w:t>
      </w:r>
    </w:p>
    <w:p>
      <w:pPr>
        <w:pStyle w:val="Heading1"/>
        <w:pageBreakBefore/>
      </w:pPr>
      <w:r>
        <w:t xml:space="preserve">How It's Structured</w:t>
      </w:r>
    </w:p>
    <w:p>
      <w:pPr>
        <w:spacing w:after="160"/>
      </w:pPr>
      <w:r>
        <w:t xml:space="preserve">Four layers work together, each with a single clear responsibility: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Context</w:t>
            </w:r>
          </w:p>
        </w:tc>
        <w:tc>
          <w:tcPr>
            <w:tcW w:type="dxa" w:w="71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Six files defining the active brand: positioning, voice, visual style, product offerings, growth goals, and a shared insights ledger. The single source of truth every agent reads before doing any work.</w:t>
            </w:r>
          </w:p>
        </w:tc>
      </w:tr>
      <w:tr>
        <w:tc>
          <w:tcPr>
            <w:tcW w:type="dxa" w:w="22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Agents</w:t>
            </w:r>
          </w:p>
        </w:tc>
        <w:tc>
          <w:tcPr>
            <w:tcW w:type="dxa" w:w="71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 sub-agents, each owning a marketing function. Agents make judgment calls across multiple steps and decide which skills to invoke and in what order.</w:t>
            </w:r>
          </w:p>
        </w:tc>
      </w:tr>
      <w:tr>
        <w:tc>
          <w:tcPr>
            <w:tcW w:type="dxa" w:w="22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Skills</w:t>
            </w:r>
          </w:p>
        </w:tc>
        <w:tc>
          <w:tcPr>
            <w:tcW w:type="dxa" w:w="71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37 atomic, single-purpose execution modules — write this blog post, build this landing page, run this audit. Agents orchestrate skills; skills do the bounded work.</w:t>
            </w:r>
          </w:p>
        </w:tc>
      </w:tr>
      <w:tr>
        <w:tc>
          <w:tcPr>
            <w:tcW w:type="dxa" w:w="22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Every finished deliverable is routed to a folder matching its type — ads, pages, presentations, reports, SEO, social, PR, email, podcasts, webinars — so nothing gets lost in an undifferentiated pile.</w:t>
            </w:r>
          </w:p>
        </w:tc>
      </w:tr>
    </w:tbl>
    <w:p>
      <w:pPr>
        <w:spacing w:before="240"/>
      </w:pPr>
    </w:p>
    <w:p>
      <w:pPr>
        <w:spacing w:after="160"/>
      </w:pPr>
      <w:r>
        <w:t xml:space="preserve">The practical effect: a marketing objective goes in at the top, and a routed, on-brand deliverable comes out the bottom — with the reasoning about which agents and skills to use handled automatically.</w:t>
      </w:r>
    </w:p>
    <w:p>
      <w:pPr>
        <w:pStyle w:val="Heading1"/>
        <w:pageBreakBefore/>
      </w:pPr>
      <w:r>
        <w:t xml:space="preserve">The 13-Agent Team</w:t>
      </w:r>
    </w:p>
    <w:p>
      <w:pPr>
        <w:spacing w:after="160"/>
      </w:pPr>
      <w:r>
        <w:t xml:space="preserve">Grouped by function. Colors match the internal role coding used across the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9360"/>
            <w:gridSpan w:val="2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CCF3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766E"/>
                <w:sz w:val="18"/>
                <w:szCs w:val="18"/>
              </w:rPr>
              <w:t xml:space="preserve">Foundation</w:t>
            </w:r>
          </w:p>
        </w:tc>
      </w:tr>
      <w:tr>
        <w:tc>
          <w:tcPr>
            <w:tcW w:type="dxa" w:w="27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CCF3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0F766E"/>
              </w:rPr>
              <w:t xml:space="preserve">brand-onboarder</w:t>
            </w:r>
          </w:p>
        </w:tc>
        <w:tc>
          <w:tcPr>
            <w:tcW w:type="dxa" w:w="66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Scrapes a brand URL or materials and builds all six context files from scratch. Runs once per employer, or whenever the active brand switches.</w:t>
            </w:r>
          </w:p>
        </w:tc>
      </w:tr>
      <w:tr>
        <w:tc>
          <w:tcPr>
            <w:tcW w:type="dxa" w:w="9360"/>
            <w:gridSpan w:val="2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EDE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7E22CE"/>
                <w:sz w:val="18"/>
                <w:szCs w:val="18"/>
              </w:rPr>
              <w:t xml:space="preserve">Strategy &amp; Research</w:t>
            </w:r>
          </w:p>
        </w:tc>
      </w:tr>
      <w:tr>
        <w:tc>
          <w:tcPr>
            <w:tcW w:type="dxa" w:w="27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EDE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7E22CE"/>
              </w:rPr>
              <w:t xml:space="preserve">campaign-strategist</w:t>
            </w:r>
          </w:p>
        </w:tc>
        <w:tc>
          <w:tcPr>
            <w:tcW w:type="dxa" w:w="66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Turns a marketing goal into a full campaign strategy — positioning, messaging, channels, paid media, email, and ABM account plans.</w:t>
            </w:r>
          </w:p>
        </w:tc>
      </w:tr>
      <w:tr>
        <w:tc>
          <w:tcPr>
            <w:tcW w:type="dxa" w:w="27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D4ED8"/>
              </w:rPr>
              <w:t xml:space="preserve">market-researcher</w:t>
            </w:r>
          </w:p>
        </w:tc>
        <w:tc>
          <w:tcPr>
            <w:tcW w:type="dxa" w:w="66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Competitive intelligence and keyword/search-demand research combined into one pass.</w:t>
            </w:r>
          </w:p>
        </w:tc>
      </w:tr>
      <w:tr>
        <w:tc>
          <w:tcPr>
            <w:tcW w:type="dxa" w:w="27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338CA"/>
              </w:rPr>
              <w:t xml:space="preserve">lead-generation-engine</w:t>
            </w:r>
          </w:p>
        </w:tc>
        <w:tc>
          <w:tcPr>
            <w:tcW w:type="dxa" w:w="66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Architects the lead funnel itself: channel mix, MQL/SQL scoring model, and nurture flow map.</w:t>
            </w:r>
          </w:p>
        </w:tc>
      </w:tr>
      <w:tr>
        <w:tc>
          <w:tcPr>
            <w:tcW w:type="dxa" w:w="9360"/>
            <w:gridSpan w:val="2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Content &amp; Creative</w:t>
            </w:r>
          </w:p>
        </w:tc>
      </w:tr>
      <w:tr>
        <w:tc>
          <w:tcPr>
            <w:tcW w:type="dxa" w:w="27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5803D"/>
              </w:rPr>
              <w:t xml:space="preserve">content-creator</w:t>
            </w:r>
          </w:p>
        </w:tc>
        <w:tc>
          <w:tcPr>
            <w:tcW w:type="dxa" w:w="66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Multi-format content packages — blog, social copy, landing pages, email sequences — built together for one campaign.</w:t>
            </w:r>
          </w:p>
        </w:tc>
      </w:tr>
      <w:tr>
        <w:tc>
          <w:tcPr>
            <w:tcW w:type="dxa" w:w="27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A16207"/>
              </w:rPr>
              <w:t xml:space="preserve">creative-designer</w:t>
            </w:r>
          </w:p>
        </w:tc>
        <w:tc>
          <w:tcPr>
            <w:tcW w:type="dxa" w:w="66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Visual direction, social graphics, and ad creative specs, applied consistently across platforms.</w:t>
            </w:r>
          </w:p>
        </w:tc>
      </w:tr>
      <w:tr>
        <w:tc>
          <w:tcPr>
            <w:tcW w:type="dxa" w:w="9360"/>
            <w:gridSpan w:val="2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2410C"/>
                <w:sz w:val="18"/>
                <w:szCs w:val="18"/>
              </w:rPr>
              <w:t xml:space="preserve">Technical &amp; Growth</w:t>
            </w:r>
          </w:p>
        </w:tc>
      </w:tr>
      <w:tr>
        <w:tc>
          <w:tcPr>
            <w:tcW w:type="dxa" w:w="27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D4ED8"/>
              </w:rPr>
              <w:t xml:space="preserve">seo-specialist</w:t>
            </w:r>
          </w:p>
        </w:tc>
        <w:tc>
          <w:tcPr>
            <w:tcW w:type="dxa" w:w="66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Technical site health and on-page search optimization — crawlability, Core Web Vitals, keyword cannibalization.</w:t>
            </w:r>
          </w:p>
        </w:tc>
      </w:tr>
      <w:tr>
        <w:tc>
          <w:tcPr>
            <w:tcW w:type="dxa" w:w="27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EDE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7E22CE"/>
              </w:rPr>
              <w:t xml:space="preserve">ai-citation-strategist</w:t>
            </w:r>
          </w:p>
        </w:tc>
        <w:tc>
          <w:tcPr>
            <w:tcW w:type="dxa" w:w="66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Audits and improves brand visibility inside ChatGPT, Claude, Gemini, and Perplexity (GEO/AEO).</w:t>
            </w:r>
          </w:p>
        </w:tc>
      </w:tr>
      <w:tr>
        <w:tc>
          <w:tcPr>
            <w:tcW w:type="dxa" w:w="27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C2410C"/>
              </w:rPr>
              <w:t xml:space="preserve">data-analyst</w:t>
            </w:r>
          </w:p>
        </w:tc>
        <w:tc>
          <w:tcPr>
            <w:tcW w:type="dxa" w:w="66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Turns raw campaign data into performance analysis and visual reporting.</w:t>
            </w:r>
          </w:p>
        </w:tc>
      </w:tr>
      <w:tr>
        <w:tc>
          <w:tcPr>
            <w:tcW w:type="dxa" w:w="9360"/>
            <w:gridSpan w:val="2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CE4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B91C1C"/>
                <w:sz w:val="18"/>
                <w:szCs w:val="18"/>
              </w:rPr>
              <w:t xml:space="preserve">Communications &amp; Programs</w:t>
            </w:r>
          </w:p>
        </w:tc>
      </w:tr>
      <w:tr>
        <w:tc>
          <w:tcPr>
            <w:tcW w:type="dxa" w:w="27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D4ED8"/>
              </w:rPr>
              <w:t xml:space="preserve">pr-comms</w:t>
            </w:r>
          </w:p>
        </w:tc>
        <w:tc>
          <w:tcPr>
            <w:tcW w:type="dxa" w:w="66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AP-style press releases, journalist pitches, crisis response playbooks, executive thought leadership.</w:t>
            </w:r>
          </w:p>
        </w:tc>
      </w:tr>
      <w:tr>
        <w:tc>
          <w:tcPr>
            <w:tcW w:type="dxa" w:w="27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D4ED8"/>
              </w:rPr>
              <w:t xml:space="preserve">social-strategist</w:t>
            </w:r>
          </w:p>
        </w:tc>
        <w:tc>
          <w:tcPr>
            <w:tcW w:type="dxa" w:w="66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Social channel growth playbooks, content calendars, and platform strategy.</w:t>
            </w:r>
          </w:p>
        </w:tc>
      </w:tr>
      <w:tr>
        <w:tc>
          <w:tcPr>
            <w:tcW w:type="dxa" w:w="27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EDE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7E22CE"/>
              </w:rPr>
              <w:t xml:space="preserve">podcast-strategist</w:t>
            </w:r>
          </w:p>
        </w:tc>
        <w:tc>
          <w:tcPr>
            <w:tcW w:type="dxa" w:w="66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Show positioning, guest research, episode scripting, and show notes.</w:t>
            </w:r>
          </w:p>
        </w:tc>
      </w:tr>
      <w:tr>
        <w:tc>
          <w:tcPr>
            <w:tcW w:type="dxa" w:w="27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CE4E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B91C1C"/>
              </w:rPr>
              <w:t xml:space="preserve">webinar-strategist</w:t>
            </w:r>
          </w:p>
        </w:tc>
        <w:tc>
          <w:tcPr>
            <w:tcW w:type="dxa" w:w="66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End-to-end webinar planning — concept, agenda, speaker brief, promotion, registration-to-follow-up.</w:t>
            </w:r>
          </w:p>
        </w:tc>
      </w:tr>
    </w:tbl>
    <w:p>
      <w:pPr>
        <w:pStyle w:val="Heading1"/>
        <w:pageBreakBefore/>
      </w:pPr>
      <w:r>
        <w:t xml:space="preserve">How Work Flows</w:t>
      </w:r>
    </w:p>
    <w:p>
      <w:pPr>
        <w:spacing w:after="160"/>
      </w:pPr>
      <w:r>
        <w:t xml:space="preserve">Agents rarely work alone. Most real requests move through a short pipeline, each agent handing a structured output to the next:</w:t>
      </w:r>
    </w:p>
    <w:p>
      <w:pPr>
        <w:pStyle w:val="Heading2"/>
      </w:pPr>
      <w:r>
        <w:t xml:space="preserve">Full campaign launch</w:t>
      </w:r>
    </w:p>
    <w:p>
      <w:pPr>
        <w:spacing w:after="100" w:before="60"/>
      </w:pPr>
      <w:r>
        <w:rPr>
          <w:b/>
          <w:bCs/>
          <w:color w:val="1E293B"/>
        </w:rPr>
        <w:t xml:space="preserve">campaign-strategist   →   content-creator + creative-designer (parallel)</w:t>
      </w:r>
    </w:p>
    <w:p>
      <w:pPr>
        <w:spacing w:after="160"/>
      </w:pPr>
      <w:r>
        <w:t xml:space="preserve">A strategy document defines positioning and channels once; content and creative then execute against it simultaneously instead of duplicating decisions.</w:t>
      </w:r>
    </w:p>
    <w:p>
      <w:pPr>
        <w:pStyle w:val="Heading2"/>
      </w:pPr>
      <w:r>
        <w:t xml:space="preserve">SEO content push</w:t>
      </w:r>
    </w:p>
    <w:p>
      <w:pPr>
        <w:spacing w:after="100" w:before="60"/>
      </w:pPr>
      <w:r>
        <w:rPr>
          <w:b/>
          <w:bCs/>
          <w:color w:val="1E293B"/>
        </w:rPr>
        <w:t xml:space="preserve">market-researcher   →   content-creator (blog + landing page)</w:t>
      </w:r>
    </w:p>
    <w:p>
      <w:pPr>
        <w:spacing w:after="160"/>
      </w:pPr>
      <w:r>
        <w:t xml:space="preserve">Competitive and keyword intelligence grounds the brief before any copy gets written.</w:t>
      </w:r>
    </w:p>
    <w:p>
      <w:pPr>
        <w:pStyle w:val="Heading2"/>
      </w:pPr>
      <w:r>
        <w:t xml:space="preserve">PR campaign</w:t>
      </w:r>
    </w:p>
    <w:p>
      <w:pPr>
        <w:spacing w:after="100" w:before="60"/>
      </w:pPr>
      <w:r>
        <w:rPr>
          <w:b/>
          <w:bCs/>
          <w:color w:val="1E293B"/>
        </w:rPr>
        <w:t xml:space="preserve">pr-comms   →   content-creator + social-strategist (amplification)</w:t>
      </w:r>
    </w:p>
    <w:p>
      <w:pPr>
        <w:spacing w:after="160"/>
      </w:pPr>
      <w:r>
        <w:t xml:space="preserve">A press release or pitch goes out through earned media, then gets repurposed into owned content and social amplification.</w:t>
      </w:r>
    </w:p>
    <w:p>
      <w:pPr>
        <w:pStyle w:val="Heading2"/>
      </w:pPr>
      <w:r>
        <w:t xml:space="preserve">Lead generation funnel build</w:t>
      </w:r>
    </w:p>
    <w:p>
      <w:pPr>
        <w:spacing w:after="100" w:before="60"/>
      </w:pPr>
      <w:r>
        <w:rPr>
          <w:b/>
          <w:bCs/>
          <w:color w:val="1E293B"/>
        </w:rPr>
        <w:t xml:space="preserve">lead-generation-engine   →   content-creator (lead magnet + landing page + nurture sequence)</w:t>
      </w:r>
    </w:p>
    <w:p>
      <w:pPr>
        <w:spacing w:after="160"/>
      </w:pPr>
      <w:r>
        <w:t xml:space="preserve">Funnel architecture and scoring criteria are settled first, so the gated asset and nurture emails are built against a coherent qualification model rather than improvised individually.</w:t>
      </w:r>
    </w:p>
    <w:p>
      <w:pPr>
        <w:pStyle w:val="Heading1"/>
        <w:pageBreakBefore/>
      </w:pPr>
      <w:r>
        <w:t xml:space="preserve">The Skills Layer</w:t>
      </w:r>
    </w:p>
    <w:p>
      <w:pPr>
        <w:spacing w:after="160"/>
      </w:pPr>
      <w:r>
        <w:t xml:space="preserve">Skills are the 37 atomic, single-purpose modules underneath the agents. The distinction that keeps the system from becoming one giant assistant with no memory of what “good” looks like: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Skill: </w:t>
      </w:r>
      <w:r>
        <w:t xml:space="preserve">A single, specific, bounded deliverable with a clear brief — “write a blog post on X” — goes straight to a skill.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Agent: </w:t>
      </w:r>
      <w:r>
        <w:t xml:space="preserve">An open-ended request — “we're launching X, build the campaign” — goes to an agent, which decides which skills to run and in what sequence.</w:t>
      </w:r>
    </w:p>
    <w:p>
      <w:pPr>
        <w:spacing w:after="160"/>
      </w:pPr>
      <w:r>
        <w:t xml:space="preserve">A representative sample of the skill library: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Skill</w:t>
            </w:r>
          </w:p>
        </w:tc>
        <w:tc>
          <w:tcPr>
            <w:tcW w:type="dxa" w:w="66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Output</w:t>
            </w:r>
          </w:p>
        </w:tc>
      </w:tr>
      <w:tr>
        <w:tc>
          <w:tcPr>
            <w:tcW w:type="dxa" w:w="27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blog-writer</w:t>
            </w:r>
          </w:p>
        </w:tc>
        <w:tc>
          <w:tcPr>
            <w:tcW w:type="dxa" w:w="66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Long-form SEO blog posts</w:t>
            </w:r>
          </w:p>
        </w:tc>
      </w:tr>
      <w:tr>
        <w:tc>
          <w:tcPr>
            <w:tcW w:type="dxa" w:w="27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lp-builder</w:t>
            </w:r>
          </w:p>
        </w:tc>
        <w:tc>
          <w:tcPr>
            <w:tcW w:type="dxa" w:w="66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Landing page copy and structure</w:t>
            </w:r>
          </w:p>
        </w:tc>
      </w:tr>
      <w:tr>
        <w:tc>
          <w:tcPr>
            <w:tcW w:type="dxa" w:w="27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technical-seo-audit</w:t>
            </w:r>
          </w:p>
        </w:tc>
        <w:tc>
          <w:tcPr>
            <w:tcW w:type="dxa" w:w="66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Structured technical SEO audit reports</w:t>
            </w:r>
          </w:p>
        </w:tc>
      </w:tr>
      <w:tr>
        <w:tc>
          <w:tcPr>
            <w:tcW w:type="dxa" w:w="27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citation-audit</w:t>
            </w:r>
          </w:p>
        </w:tc>
        <w:tc>
          <w:tcPr>
            <w:tcW w:type="dxa" w:w="66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AI recommendation engine scorecard and fix pack</w:t>
            </w:r>
          </w:p>
        </w:tc>
      </w:tr>
      <w:tr>
        <w:tc>
          <w:tcPr>
            <w:tcW w:type="dxa" w:w="27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press-release</w:t>
            </w:r>
          </w:p>
        </w:tc>
        <w:tc>
          <w:tcPr>
            <w:tcW w:type="dxa" w:w="66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AP-style press releases for wire distribution</w:t>
            </w:r>
          </w:p>
        </w:tc>
      </w:tr>
      <w:tr>
        <w:tc>
          <w:tcPr>
            <w:tcW w:type="dxa" w:w="27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abm-account-plan</w:t>
            </w:r>
          </w:p>
        </w:tc>
        <w:tc>
          <w:tcPr>
            <w:tcW w:type="dxa" w:w="66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Account tiering, scoring, and stakeholder maps for ABM</w:t>
            </w:r>
          </w:p>
        </w:tc>
      </w:tr>
      <w:tr>
        <w:tc>
          <w:tcPr>
            <w:tcW w:type="dxa" w:w="270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build-brand-voice</w:t>
            </w:r>
          </w:p>
        </w:tc>
        <w:tc>
          <w:tcPr>
            <w:tcW w:type="dxa" w:w="666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Refreshed brand voice guide, without a full re-onboarding</w:t>
            </w:r>
          </w:p>
        </w:tc>
      </w:tr>
    </w:tbl>
    <w:p>
      <w:pPr>
        <w:spacing w:before="240"/>
      </w:pPr>
      <w:r>
        <w:rPr>
          <w:i/>
          <w:iCs/>
          <w:color w:val="475569"/>
        </w:rPr>
        <w:t xml:space="preserve">The full library also covers ad creative, deck building, campaign briefs and reports, keyword research, image production, on-page optimization, media pitching, crisis response, thought leadership, email sequences, social strategy, podcast planning, and webinar plans.</w:t>
      </w:r>
    </w:p>
    <w:p>
      <w:pPr>
        <w:pStyle w:val="Heading1"/>
        <w:pageBreakBefore/>
      </w:pPr>
      <w:r>
        <w:t xml:space="preserve">Where Output Lands</w:t>
      </w:r>
    </w:p>
    <w:p>
      <w:pPr>
        <w:spacing w:after="160"/>
      </w:pPr>
      <w:r>
        <w:t xml:space="preserve">Every finished deliverable is saved to a folder matching its type, so nothing ends up in an undifferentiated pile: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Deliverable</w:t>
            </w:r>
          </w:p>
        </w:tc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Folder</w:t>
            </w:r>
          </w:p>
        </w:tc>
      </w:tr>
      <w:tr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 copy, creative briefs, paid assets</w:t>
            </w:r>
          </w:p>
        </w:tc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output/ads</w:t>
            </w:r>
          </w:p>
        </w:tc>
      </w:tr>
      <w:tr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Landing pages, web copy</w:t>
            </w:r>
          </w:p>
        </w:tc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output/pages</w:t>
            </w:r>
          </w:p>
        </w:tc>
      </w:tr>
      <w:tr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Sales, pitch, internal decks</w:t>
            </w:r>
          </w:p>
        </w:tc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output/presentations</w:t>
            </w:r>
          </w:p>
        </w:tc>
      </w:tr>
      <w:tr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Reports, analyses, audits, ABM/lead-gen plans</w:t>
            </w:r>
          </w:p>
        </w:tc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output/reports</w:t>
            </w:r>
          </w:p>
        </w:tc>
      </w:tr>
      <w:tr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SEO briefs, technical audits, keyword research</w:t>
            </w:r>
          </w:p>
        </w:tc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output/seo</w:t>
            </w:r>
          </w:p>
        </w:tc>
      </w:tr>
      <w:tr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Social posts, calendars, captions</w:t>
            </w:r>
          </w:p>
        </w:tc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output/social</w:t>
            </w:r>
          </w:p>
        </w:tc>
      </w:tr>
      <w:tr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Press releases, pitches, crisis playbooks</w:t>
            </w:r>
          </w:p>
        </w:tc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output/pr</w:t>
            </w:r>
          </w:p>
        </w:tc>
      </w:tr>
      <w:tr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Email sequences</w:t>
            </w:r>
          </w:p>
        </w:tc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output/email</w:t>
            </w:r>
          </w:p>
        </w:tc>
      </w:tr>
      <w:tr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Podcast briefs and show notes</w:t>
            </w:r>
          </w:p>
        </w:tc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output/podcasts</w:t>
            </w:r>
          </w:p>
        </w:tc>
      </w:tr>
      <w:tr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Webinar plans and follow-up outlines</w:t>
            </w:r>
          </w:p>
        </w:tc>
        <w:tc>
          <w:tcPr>
            <w:tcW w:type="dxa" w:w="468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output/webinars</w:t>
            </w:r>
          </w:p>
        </w:tc>
      </w:tr>
    </w:tbl>
    <w:p>
      <w:pPr>
        <w:pStyle w:val="Heading1"/>
        <w:pageBreakBefore/>
      </w:pPr>
      <w:r>
        <w:t xml:space="preserve">What's Under the Hood</w:t>
      </w:r>
    </w:p>
    <w:p>
      <w:pPr>
        <w:spacing w:after="160"/>
      </w:pPr>
      <w:r>
        <w:t xml:space="preserve">External integrations are tiered, not required — every capability has a zero-setup fallback (built-in web search/fetch, manual input, or a written creative brief). Nothing in the system depends on a specific vendor being connected.</w:t>
      </w:r>
    </w:p>
    <w:p>
      <w:pPr>
        <w:pStyle w:val="Heading2"/>
      </w:pPr>
      <w:r>
        <w:t xml:space="preserve">Image generation</w:t>
      </w:r>
    </w:p>
    <w:p>
      <w:pPr>
        <w:spacing w:after="160"/>
      </w:pPr>
      <w:r>
        <w:t xml:space="preserve">Ideogram, Flux (Black Forest Labs), Nano Banana (Gemini 2.5 Flash Image), and GPT Image — for social graphics, ad creative, and blog visuals.</w:t>
      </w:r>
    </w:p>
    <w:p>
      <w:pPr>
        <w:pStyle w:val="Heading2"/>
      </w:pPr>
      <w:r>
        <w:t xml:space="preserve">Research and discovery</w:t>
      </w:r>
    </w:p>
    <w:p>
      <w:pPr>
        <w:spacing w:after="160"/>
      </w:pPr>
      <w:r>
        <w:t xml:space="preserve">Exa for neural/semantic web search, Firecrawl for clean page-to-markdown extraction, and NotebookLM for multi-document synthesis.</w:t>
      </w:r>
    </w:p>
    <w:p>
      <w:pPr>
        <w:pStyle w:val="Heading2"/>
      </w:pPr>
      <w:r>
        <w:t xml:space="preserve">Assembly and distribution</w:t>
      </w:r>
    </w:p>
    <w:p>
      <w:pPr>
        <w:spacing w:after="160"/>
      </w:pPr>
      <w:r>
        <w:t xml:space="preserve">Canva for typography, layout, and brand-kit templates; Unsplash and Pexels for stock photo/video; Windsor for connecting out to 350+ marketing, ads, analytics, and CRM platforms.</w:t>
      </w:r>
    </w:p>
    <w:p>
      <w:pPr>
        <w:pStyle w:val="Heading2"/>
      </w:pPr>
      <w:r>
        <w:t xml:space="preserve">Shared memory</w:t>
      </w:r>
    </w:p>
    <w:p>
      <w:pPr>
        <w:spacing w:after="160"/>
      </w:pPr>
      <w:r>
        <w:t xml:space="preserve">A cross-agent insights ledger accumulates buyer personas, creative learnings, voice preferences, and performance anomalies over time — so the system gets sharper the longer it runs, rather than starting cold on every request.</w:t>
      </w:r>
    </w:p>
    <w:p>
      <w:pPr>
        <w:pStyle w:val="Heading1"/>
        <w:pageBreakBefore/>
      </w:pPr>
      <w:r>
        <w:t xml:space="preserve">The Takeaway</w:t>
      </w:r>
    </w:p>
    <w:p>
      <w:pPr>
        <w:spacing w:after="160"/>
      </w:pPr>
      <w:r>
        <w:t xml:space="preserve">This isn't a marketing tool configured for one company. It's a marketing department built around one person, with the brand as the only replaceable part.</w:t>
      </w:r>
    </w:p>
    <w:p>
      <w:pPr>
        <w:spacing w:after="160"/>
      </w:pPr>
      <w:r>
        <w:t xml:space="preserve">Change employers, swap six context files, and the same 13-agent team, the same 37 skills, and the same workflows pick up the new brand's voice, positioning, and goals automatically — no rebuild, no re-training, no starting over.</w:t>
      </w:r>
    </w:p>
    <w:p>
      <w:pPr>
        <w:pBdr>
          <w:top w:val="single" w:color="2E75B6" w:sz="6" w:space="4"/>
        </w:pBdr>
        <w:spacing w:before="4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94A3B8"/>
        <w:sz w:val="16"/>
        <w:szCs w:val="16"/>
      </w:rPr>
      <w:t xml:space="preserve">Foundry Collective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40" w:before="0"/>
      <w:outlineLvl w:val="0"/>
    </w:pPr>
    <w:rPr>
      <w:rFonts w:ascii="Arial" w:cs="Arial" w:eastAsia="Arial" w:hAnsi="Arial"/>
      <w:b/>
      <w:bCs/>
      <w:color w:val="1E293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2026-07-06T08:00:42.945Z</dcterms:created>
  <dcterms:modified xsi:type="dcterms:W3CDTF">2026-07-06T08:00:42.946Z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