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94357" w14:textId="77777777" w:rsidR="008D6E8A" w:rsidRDefault="00000000">
      <w:p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F4E5F"/>
          <w:sz w:val="44"/>
          <w:szCs w:val="44"/>
        </w:rPr>
        <w:t>Phase 4C - Steps 6 &amp; 7: EBM Deep Analysis and Objective 2 Completion</w:t>
      </w:r>
    </w:p>
    <w:p w14:paraId="3219502D" w14:textId="77777777" w:rsidR="008D6E8A" w:rsidRDefault="00000000">
      <w:p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7F8C8D"/>
          <w:sz w:val="23"/>
          <w:szCs w:val="23"/>
        </w:rPr>
        <w:t>Comparative Genomic and Explainable Machine Learning Analysis of Compensatory Mutations Associated with Multidrug Resistance in African Mycobacterium tuberculosis</w:t>
      </w:r>
    </w:p>
    <w:p w14:paraId="10259396" w14:textId="77777777" w:rsidR="008D6E8A" w:rsidRDefault="00000000">
      <w:p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E5F"/>
          <w:sz w:val="21"/>
          <w:szCs w:val="21"/>
        </w:rPr>
        <w:t>Technical Report - EBM Native Explanation · Cross-Model Synthesis · Compensatory Mutation Reconciliation · Objective 2 Complete</w:t>
      </w:r>
    </w:p>
    <w:p w14:paraId="0C9B8EAD" w14:textId="77777777" w:rsidR="008D6E8A" w:rsidRDefault="008D6E8A">
      <w:pPr>
        <w:pBdr>
          <w:bottom w:val="single" w:sz="14" w:space="4" w:color="1F4E5F"/>
        </w:pBdr>
        <w:spacing w:after="300"/>
      </w:pPr>
    </w:p>
    <w:tbl>
      <w:tblPr>
        <w:tblW w:w="96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3"/>
        <w:gridCol w:w="7008"/>
      </w:tblGrid>
      <w:tr w:rsidR="008D6E8A" w14:paraId="74F69369" w14:textId="77777777" w:rsidTr="003029F3">
        <w:trPr>
          <w:trHeight w:val="252"/>
          <w:tblHeader/>
        </w:trPr>
        <w:tc>
          <w:tcPr>
            <w:tcW w:w="2603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BD4AA1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7008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E4DCC6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8D6E8A" w14:paraId="7219E75C" w14:textId="77777777" w:rsidTr="003029F3">
        <w:trPr>
          <w:trHeight w:val="504"/>
        </w:trPr>
        <w:tc>
          <w:tcPr>
            <w:tcW w:w="2603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820A2C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Steps covered</w:t>
            </w:r>
          </w:p>
        </w:tc>
        <w:tc>
          <w:tcPr>
            <w:tcW w:w="7008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CD0A88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Step 6: EBM deep analysis (interactions, shape functions, local explanation) and Step 7: Objective 2 synthesis across Steps 4-6</w:t>
            </w:r>
          </w:p>
        </w:tc>
      </w:tr>
      <w:tr w:rsidR="008D6E8A" w14:paraId="51B5F113" w14:textId="77777777" w:rsidTr="003029F3">
        <w:trPr>
          <w:trHeight w:val="756"/>
        </w:trPr>
        <w:tc>
          <w:tcPr>
            <w:tcW w:w="2603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CD9A19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Objective addressed</w:t>
            </w:r>
          </w:p>
        </w:tc>
        <w:tc>
          <w:tcPr>
            <w:tcW w:w="7008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9D9DA6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Objective 2 - Explainable ML: development, evaluation, and biological interpretation of an MDR-predictive model, including compensatory mutation assessment. Formally closed by this report.</w:t>
            </w:r>
          </w:p>
        </w:tc>
      </w:tr>
      <w:tr w:rsidR="008D6E8A" w14:paraId="6869FF9E" w14:textId="77777777" w:rsidTr="003029F3">
        <w:trPr>
          <w:trHeight w:val="252"/>
        </w:trPr>
        <w:tc>
          <w:tcPr>
            <w:tcW w:w="2603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EE44D6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Step 6 notebook</w:t>
            </w:r>
          </w:p>
        </w:tc>
        <w:tc>
          <w:tcPr>
            <w:tcW w:w="7008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D3A4E8" w14:textId="77777777" w:rsidR="008D6E8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  <w:szCs w:val="19"/>
              </w:rPr>
              <w:t>ebm_</w:t>
            </w:r>
            <w:proofErr w:type="gramStart"/>
            <w:r>
              <w:rPr>
                <w:rFonts w:ascii="Times New Roman" w:hAnsi="Times New Roman" w:cs="Times New Roman"/>
                <w:sz w:val="19"/>
                <w:szCs w:val="19"/>
              </w:rPr>
              <w:t>analysis.ipynb</w:t>
            </w:r>
            <w:proofErr w:type="spellEnd"/>
            <w:proofErr w:type="gramEnd"/>
          </w:p>
        </w:tc>
      </w:tr>
      <w:tr w:rsidR="008D6E8A" w14:paraId="6C0A458A" w14:textId="77777777" w:rsidTr="003029F3">
        <w:trPr>
          <w:trHeight w:val="517"/>
        </w:trPr>
        <w:tc>
          <w:tcPr>
            <w:tcW w:w="2603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803819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Model explained (Step 6)</w:t>
            </w:r>
          </w:p>
        </w:tc>
        <w:tc>
          <w:tcPr>
            <w:tcW w:w="7008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F4FFE8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EBM </w:t>
            </w:r>
            <w:proofErr w:type="spellStart"/>
            <w:r>
              <w:rPr>
                <w:rFonts w:ascii="Times New Roman" w:hAnsi="Times New Roman" w:cs="Times New Roman"/>
                <w:sz w:val="19"/>
                <w:szCs w:val="19"/>
              </w:rPr>
              <w:t>GlassBox</w:t>
            </w:r>
            <w:proofErr w:type="spellEnd"/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(Explainable Boosting Machine) - native, exact additive explanation, no post-hoc approximation</w:t>
            </w:r>
          </w:p>
        </w:tc>
      </w:tr>
      <w:tr w:rsidR="008D6E8A" w14:paraId="5867150A" w14:textId="77777777" w:rsidTr="003029F3">
        <w:trPr>
          <w:trHeight w:val="504"/>
        </w:trPr>
        <w:tc>
          <w:tcPr>
            <w:tcW w:w="2603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1AAC4D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Data</w:t>
            </w:r>
          </w:p>
        </w:tc>
        <w:tc>
          <w:tcPr>
            <w:tcW w:w="7008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50F8D6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1,858 MTb isolates (871 MDR, 987 non-MDR); 94,583 variants reduced to 5,000 by chi2 feature selection for model training</w:t>
            </w:r>
          </w:p>
        </w:tc>
      </w:tr>
      <w:tr w:rsidR="008D6E8A" w14:paraId="7B40B4C0" w14:textId="77777777" w:rsidTr="003029F3">
        <w:trPr>
          <w:trHeight w:val="1009"/>
        </w:trPr>
        <w:tc>
          <w:tcPr>
            <w:tcW w:w="2603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9EFEAC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Key Step 6 result</w:t>
            </w:r>
          </w:p>
        </w:tc>
        <w:tc>
          <w:tcPr>
            <w:tcW w:w="7008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9CBE63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5,007 EBM terms (5,000 main effects + 7 interactions) analysed; top interaction (PPE19 x aspB, importance 0.045) is the strongest of 7, but all 7 rank well outside the top 200 overall; 0 compensatory-gene terms in EBM's own top 100 vs 2 in SHAP's; local-explanation additivity verified exactly against real predictions</w:t>
            </w:r>
          </w:p>
        </w:tc>
      </w:tr>
      <w:tr w:rsidR="008D6E8A" w14:paraId="1F1755DD" w14:textId="77777777" w:rsidTr="003029F3">
        <w:trPr>
          <w:trHeight w:val="1023"/>
        </w:trPr>
        <w:tc>
          <w:tcPr>
            <w:tcW w:w="2603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633351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Key Step 7 finding</w:t>
            </w:r>
          </w:p>
        </w:tc>
        <w:tc>
          <w:tcPr>
            <w:tcW w:w="7008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B49727" w14:textId="77777777" w:rsidR="008D6E8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  <w:szCs w:val="19"/>
              </w:rPr>
              <w:t>XGBoost</w:t>
            </w:r>
            <w:proofErr w:type="spellEnd"/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remains the best-performing model (AUC 0.9935); the compensatory-mutation question has three different, now-reconciled answers depending on which step and method is consulted (Section 6.3); PE_PGRS/PPE reliability caveat carried forward from the Step 5 addendum</w:t>
            </w:r>
          </w:p>
        </w:tc>
      </w:tr>
      <w:tr w:rsidR="008D6E8A" w14:paraId="2D0BF768" w14:textId="77777777" w:rsidTr="003029F3">
        <w:trPr>
          <w:trHeight w:val="252"/>
        </w:trPr>
        <w:tc>
          <w:tcPr>
            <w:tcW w:w="2603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45B695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Objective 2 status</w:t>
            </w:r>
          </w:p>
        </w:tc>
        <w:tc>
          <w:tcPr>
            <w:tcW w:w="7008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7A4DEA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Complete </w:t>
            </w:r>
          </w:p>
        </w:tc>
      </w:tr>
    </w:tbl>
    <w:p w14:paraId="3F1F0BC0" w14:textId="77777777" w:rsidR="008D6E8A" w:rsidRDefault="008D6E8A">
      <w:pPr>
        <w:spacing w:after="200"/>
        <w:rPr>
          <w:rFonts w:ascii="Times New Roman" w:hAnsi="Times New Roman" w:cs="Times New Roman"/>
        </w:rPr>
      </w:pPr>
    </w:p>
    <w:p w14:paraId="25129CB8" w14:textId="77777777" w:rsidR="009E54BC" w:rsidRDefault="009E54BC">
      <w:pPr>
        <w:spacing w:after="200"/>
        <w:rPr>
          <w:rFonts w:ascii="Times New Roman" w:hAnsi="Times New Roman" w:cs="Times New Roman"/>
        </w:rPr>
      </w:pPr>
    </w:p>
    <w:p w14:paraId="5612FBC2" w14:textId="77777777" w:rsidR="009E54BC" w:rsidRDefault="009E54BC">
      <w:pPr>
        <w:spacing w:after="200"/>
        <w:rPr>
          <w:rFonts w:ascii="Times New Roman" w:hAnsi="Times New Roman" w:cs="Times New Roman"/>
        </w:rPr>
      </w:pPr>
    </w:p>
    <w:p w14:paraId="3151352B" w14:textId="77777777" w:rsidR="009E54BC" w:rsidRDefault="009E54BC">
      <w:pPr>
        <w:spacing w:after="200"/>
        <w:rPr>
          <w:rFonts w:ascii="Times New Roman" w:hAnsi="Times New Roman" w:cs="Times New Roman"/>
        </w:rPr>
      </w:pPr>
    </w:p>
    <w:p w14:paraId="1371777C" w14:textId="77777777" w:rsidR="009E54BC" w:rsidRDefault="009E54BC">
      <w:pPr>
        <w:spacing w:after="200"/>
        <w:rPr>
          <w:rFonts w:ascii="Times New Roman" w:hAnsi="Times New Roman" w:cs="Times New Roman"/>
        </w:rPr>
      </w:pPr>
    </w:p>
    <w:p w14:paraId="030180C1" w14:textId="77777777" w:rsidR="009E54BC" w:rsidRDefault="009E54BC">
      <w:pPr>
        <w:spacing w:after="200"/>
        <w:rPr>
          <w:rFonts w:ascii="Times New Roman" w:hAnsi="Times New Roman" w:cs="Times New Roman"/>
        </w:rPr>
      </w:pPr>
    </w:p>
    <w:p w14:paraId="6BB52222" w14:textId="77777777" w:rsidR="009E54BC" w:rsidRDefault="009E54BC">
      <w:pPr>
        <w:spacing w:after="200"/>
        <w:rPr>
          <w:rFonts w:ascii="Times New Roman" w:hAnsi="Times New Roman" w:cs="Times New Roman"/>
        </w:rPr>
      </w:pPr>
    </w:p>
    <w:p w14:paraId="1EEB7123" w14:textId="77777777" w:rsidR="009E54BC" w:rsidRDefault="009E54BC">
      <w:pPr>
        <w:spacing w:after="200"/>
        <w:rPr>
          <w:rFonts w:ascii="Times New Roman" w:hAnsi="Times New Roman" w:cs="Times New Roman"/>
        </w:rPr>
      </w:pPr>
    </w:p>
    <w:p w14:paraId="495FFCCB" w14:textId="77777777" w:rsidR="009E54BC" w:rsidRDefault="009E54BC">
      <w:pPr>
        <w:spacing w:after="200"/>
        <w:rPr>
          <w:rFonts w:ascii="Times New Roman" w:hAnsi="Times New Roman" w:cs="Times New Roman"/>
        </w:rPr>
      </w:pPr>
    </w:p>
    <w:p w14:paraId="0271D09D" w14:textId="77777777" w:rsidR="009E54BC" w:rsidRDefault="009E54BC">
      <w:pPr>
        <w:spacing w:after="200"/>
        <w:rPr>
          <w:rFonts w:ascii="Times New Roman" w:hAnsi="Times New Roman" w:cs="Times New Roman"/>
        </w:rPr>
      </w:pPr>
    </w:p>
    <w:p w14:paraId="635CDAD8" w14:textId="77777777" w:rsidR="008D6E8A" w:rsidRDefault="00000000">
      <w:pPr>
        <w:pStyle w:val="Heading1"/>
      </w:pPr>
      <w:r>
        <w:rPr>
          <w:rFonts w:ascii="Times New Roman" w:hAnsi="Times New Roman" w:cs="Times New Roman"/>
        </w:rPr>
        <w:t>1. Overview</w:t>
      </w:r>
    </w:p>
    <w:p w14:paraId="7C447911" w14:textId="77777777" w:rsidR="008D6E8A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report closes </w:t>
      </w:r>
      <w:r>
        <w:rPr>
          <w:rFonts w:ascii="Times New Roman" w:hAnsi="Times New Roman" w:cs="Times New Roman"/>
          <w:b/>
          <w:bCs/>
        </w:rPr>
        <w:t>Objective 2</w:t>
      </w:r>
      <w:r>
        <w:rPr>
          <w:rFonts w:ascii="Times New Roman" w:hAnsi="Times New Roman" w:cs="Times New Roman"/>
        </w:rPr>
        <w:t xml:space="preserve"> of the research project: </w:t>
      </w:r>
      <w:r>
        <w:rPr>
          <w:rFonts w:ascii="Times New Roman" w:hAnsi="Times New Roman" w:cs="Times New Roman"/>
          <w:i/>
          <w:iCs/>
        </w:rPr>
        <w:t>"To develop and evaluate an explainable machine learning model for prioritising genomic features associated with multidrug resistance, including candidate compensatory mutations."</w:t>
      </w:r>
    </w:p>
    <w:p w14:paraId="69E587E5" w14:textId="77777777" w:rsidR="008D6E8A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Objective 2 was addressed across four steps, each already documented in its own technical report: Step 4 trained and evaluated four classification models; Step 5 applied SHAP to explain the best of them (</w:t>
      </w:r>
      <w:proofErr w:type="spellStart"/>
      <w:r>
        <w:rPr>
          <w:rFonts w:ascii="Times New Roman" w:hAnsi="Times New Roman" w:cs="Times New Roman"/>
        </w:rPr>
        <w:t>XGBoost</w:t>
      </w:r>
      <w:proofErr w:type="spellEnd"/>
      <w:r>
        <w:rPr>
          <w:rFonts w:ascii="Times New Roman" w:hAnsi="Times New Roman" w:cs="Times New Roman"/>
        </w:rPr>
        <w:t xml:space="preserve">); Step 6, documented here for the first time in report form, applies EBM's own native explanation to the interpretable </w:t>
      </w:r>
      <w:proofErr w:type="spellStart"/>
      <w:r>
        <w:rPr>
          <w:rFonts w:ascii="Times New Roman" w:hAnsi="Times New Roman" w:cs="Times New Roman"/>
        </w:rPr>
        <w:t>GlassBox</w:t>
      </w:r>
      <w:proofErr w:type="spellEnd"/>
      <w:r>
        <w:rPr>
          <w:rFonts w:ascii="Times New Roman" w:hAnsi="Times New Roman" w:cs="Times New Roman"/>
        </w:rPr>
        <w:t xml:space="preserve"> model trained alongside it. This report does not repeat those steps' full methodology - each is cited by reference - but synthesises their results into one coherent answer to Objective 2's central question, and resolves a genuine disagreement between Step 5 and Step 6 on whether compensatory mutations are independently predictive of MDR status (Section 6.3).</w:t>
      </w:r>
    </w:p>
    <w:p w14:paraId="259B4CD0" w14:textId="77777777" w:rsidR="008D6E8A" w:rsidRPr="00D868BB" w:rsidRDefault="00D868BB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Note: the cross-validated AUC figures reported for all four Step 4 models are treated here as the authoritative performance metric. The confusion matrices produced alongside them were computed in-sample (on the full fitted model, not held-out folds) and are used only for illustration of error patterns, not as a substitute for the CV estimate</w:t>
      </w:r>
    </w:p>
    <w:p w14:paraId="51DE7B43" w14:textId="77777777" w:rsidR="008D6E8A" w:rsidRDefault="00000000">
      <w:pPr>
        <w:pStyle w:val="Heading1"/>
      </w:pPr>
      <w:r>
        <w:rPr>
          <w:rFonts w:ascii="Times New Roman" w:hAnsi="Times New Roman" w:cs="Times New Roman"/>
        </w:rPr>
        <w:t>2. Methodology and Data Flow</w:t>
      </w:r>
    </w:p>
    <w:p w14:paraId="5F2B9FEA" w14:textId="77777777" w:rsidR="008D6E8A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full pipeline from raw sequencing data to this synthesis report spans seven steps. Steps 1-3 (Objective 1) are documented in prior reports and summarised here only as the input this work builds on; Steps 4-7 (Objective 2) are the direct subject of this report.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2"/>
        <w:gridCol w:w="1991"/>
        <w:gridCol w:w="2887"/>
        <w:gridCol w:w="2790"/>
      </w:tblGrid>
      <w:tr w:rsidR="008D6E8A" w14:paraId="43F56CB0" w14:textId="77777777">
        <w:trPr>
          <w:tblHeader/>
        </w:trPr>
        <w:tc>
          <w:tcPr>
            <w:tcW w:w="1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A2C766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20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C86368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Input</w:t>
            </w:r>
          </w:p>
        </w:tc>
        <w:tc>
          <w:tcPr>
            <w:tcW w:w="2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9A4DF8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276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ADFDFC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Output feeding forward</w:t>
            </w:r>
          </w:p>
        </w:tc>
      </w:tr>
      <w:tr w:rsidR="008D6E8A" w14:paraId="0FA06DC0" w14:textId="77777777">
        <w:tc>
          <w:tcPr>
            <w:tcW w:w="1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5761FF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1 - Dataset build</w:t>
            </w:r>
          </w:p>
        </w:tc>
        <w:tc>
          <w:tcPr>
            <w:tcW w:w="20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57471B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Filtered VCFs (1,858 samples)</w:t>
            </w:r>
          </w:p>
        </w:tc>
        <w:tc>
          <w:tcPr>
            <w:tcW w:w="2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4FBDFB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Merge, chi2-independent binary encoding, train/label arrays</w:t>
            </w:r>
          </w:p>
        </w:tc>
        <w:tc>
          <w:tcPr>
            <w:tcW w:w="276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384AF5" w14:textId="77777777" w:rsidR="008D6E8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  <w:szCs w:val="19"/>
              </w:rPr>
              <w:t>X_array.npy</w:t>
            </w:r>
            <w:proofErr w:type="spellEnd"/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(1858 x 94,583), </w:t>
            </w:r>
            <w:proofErr w:type="spellStart"/>
            <w:r>
              <w:rPr>
                <w:rFonts w:ascii="Times New Roman" w:hAnsi="Times New Roman" w:cs="Times New Roman"/>
                <w:sz w:val="19"/>
                <w:szCs w:val="19"/>
              </w:rPr>
              <w:t>y_mdr_array.npy</w:t>
            </w:r>
            <w:proofErr w:type="spellEnd"/>
            <w:r>
              <w:rPr>
                <w:rFonts w:ascii="Times New Roman" w:hAnsi="Times New Roman" w:cs="Times New Roman"/>
                <w:sz w:val="19"/>
                <w:szCs w:val="19"/>
              </w:rPr>
              <w:t>, feature_names_clean.txt</w:t>
            </w:r>
          </w:p>
        </w:tc>
      </w:tr>
      <w:tr w:rsidR="008D6E8A" w14:paraId="54E32156" w14:textId="77777777">
        <w:tc>
          <w:tcPr>
            <w:tcW w:w="1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9F22F0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2 - Comparative genomics</w:t>
            </w:r>
          </w:p>
        </w:tc>
        <w:tc>
          <w:tcPr>
            <w:tcW w:w="20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0C0FE7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Step 1 arrays + TB-Profiler/GFF gene annotation</w:t>
            </w:r>
          </w:p>
        </w:tc>
        <w:tc>
          <w:tcPr>
            <w:tcW w:w="2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CAEC07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Fisher's exact test per variant, BH-FDR correction, compensatory/primary-DR gene flagging</w:t>
            </w:r>
          </w:p>
        </w:tc>
        <w:tc>
          <w:tcPr>
            <w:tcW w:w="276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DC3F3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variant_metadata_with_genes.csv (shared gene-truth table used by every later step)</w:t>
            </w:r>
          </w:p>
        </w:tc>
      </w:tr>
      <w:tr w:rsidR="008D6E8A" w14:paraId="4111C903" w14:textId="77777777">
        <w:tc>
          <w:tcPr>
            <w:tcW w:w="1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82B4D7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3 - AMR catalogue</w:t>
            </w:r>
          </w:p>
        </w:tc>
        <w:tc>
          <w:tcPr>
            <w:tcW w:w="20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60525B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TB-Profiler dr_variants.csv + Step 2 output</w:t>
            </w:r>
          </w:p>
        </w:tc>
        <w:tc>
          <w:tcPr>
            <w:tcW w:w="2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43404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Known mutation-drug pair cataloguing</w:t>
            </w:r>
          </w:p>
        </w:tc>
        <w:tc>
          <w:tcPr>
            <w:tcW w:w="276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8C57D1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obj1_known_amr_summary.csv</w:t>
            </w:r>
          </w:p>
        </w:tc>
      </w:tr>
      <w:tr w:rsidR="008D6E8A" w14:paraId="01FCBFA8" w14:textId="77777777">
        <w:tc>
          <w:tcPr>
            <w:tcW w:w="1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595AFE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4 - Model training</w:t>
            </w:r>
          </w:p>
        </w:tc>
        <w:tc>
          <w:tcPr>
            <w:tcW w:w="20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04B97D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Step 1 arrays</w:t>
            </w:r>
          </w:p>
        </w:tc>
        <w:tc>
          <w:tcPr>
            <w:tcW w:w="2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4CA382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chi2 feature selection (k=5,000) -&gt; 4 models trained with 5-fold stratified CV</w:t>
            </w:r>
          </w:p>
        </w:tc>
        <w:tc>
          <w:tcPr>
            <w:tcW w:w="276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29ADC8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4 fitted pipelines (LR/RF/</w:t>
            </w:r>
            <w:proofErr w:type="spellStart"/>
            <w:r>
              <w:rPr>
                <w:rFonts w:ascii="Times New Roman" w:hAnsi="Times New Roman" w:cs="Times New Roman"/>
                <w:sz w:val="19"/>
                <w:szCs w:val="19"/>
              </w:rPr>
              <w:t>XGBoost</w:t>
            </w:r>
            <w:proofErr w:type="spellEnd"/>
            <w:r>
              <w:rPr>
                <w:rFonts w:ascii="Times New Roman" w:hAnsi="Times New Roman" w:cs="Times New Roman"/>
                <w:sz w:val="19"/>
                <w:szCs w:val="19"/>
              </w:rPr>
              <w:t>/EBM); native per-model importances</w:t>
            </w:r>
          </w:p>
        </w:tc>
      </w:tr>
      <w:tr w:rsidR="008D6E8A" w14:paraId="636F47D8" w14:textId="77777777">
        <w:tc>
          <w:tcPr>
            <w:tcW w:w="1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513605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5 - SHAP explanation</w:t>
            </w:r>
          </w:p>
        </w:tc>
        <w:tc>
          <w:tcPr>
            <w:tcW w:w="20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923B2E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Step 4's </w:t>
            </w:r>
            <w:proofErr w:type="spellStart"/>
            <w:r>
              <w:rPr>
                <w:rFonts w:ascii="Times New Roman" w:hAnsi="Times New Roman" w:cs="Times New Roman"/>
                <w:sz w:val="19"/>
                <w:szCs w:val="19"/>
              </w:rPr>
              <w:t>XGBoost</w:t>
            </w:r>
            <w:proofErr w:type="spellEnd"/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pipeline + Step 1 arrays</w:t>
            </w:r>
          </w:p>
        </w:tc>
        <w:tc>
          <w:tcPr>
            <w:tcW w:w="2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F52AA2" w14:textId="77777777" w:rsidR="008D6E8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  <w:szCs w:val="19"/>
              </w:rPr>
              <w:t>TreeExplainer</w:t>
            </w:r>
            <w:proofErr w:type="spellEnd"/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exact Shapley values, gene annotation join</w:t>
            </w:r>
          </w:p>
        </w:tc>
        <w:tc>
          <w:tcPr>
            <w:tcW w:w="276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7130EF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Global/local SHAP tables and figures; corrected gene identities</w:t>
            </w:r>
          </w:p>
        </w:tc>
      </w:tr>
      <w:tr w:rsidR="008D6E8A" w14:paraId="6279C3B5" w14:textId="77777777">
        <w:tc>
          <w:tcPr>
            <w:tcW w:w="1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240F99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6 - EBM explanation</w:t>
            </w:r>
          </w:p>
        </w:tc>
        <w:tc>
          <w:tcPr>
            <w:tcW w:w="20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772A29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Step 4's EBM pipeline + Step 1 arrays</w:t>
            </w:r>
          </w:p>
        </w:tc>
        <w:tc>
          <w:tcPr>
            <w:tcW w:w="2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994EF9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Native shape-function extraction, interaction analysis, gene annotation </w:t>
            </w:r>
            <w:proofErr w:type="gramStart"/>
            <w:r>
              <w:rPr>
                <w:rFonts w:ascii="Times New Roman" w:hAnsi="Times New Roman" w:cs="Times New Roman"/>
                <w:sz w:val="19"/>
                <w:szCs w:val="19"/>
              </w:rPr>
              <w:t>join</w:t>
            </w:r>
            <w:proofErr w:type="gramEnd"/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(identical logic to Step 5)</w:t>
            </w:r>
          </w:p>
        </w:tc>
        <w:tc>
          <w:tcPr>
            <w:tcW w:w="276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776566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Global/local EBM tables and figures; all 7 interactions annotated</w:t>
            </w:r>
          </w:p>
        </w:tc>
      </w:tr>
      <w:tr w:rsidR="008D6E8A" w14:paraId="0265421D" w14:textId="77777777">
        <w:tc>
          <w:tcPr>
            <w:tcW w:w="1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55E5CB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7 - Synthesis (this report)</w:t>
            </w:r>
          </w:p>
        </w:tc>
        <w:tc>
          <w:tcPr>
            <w:tcW w:w="20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5DA44B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Steps 4, 5, 6 outputs</w:t>
            </w:r>
          </w:p>
        </w:tc>
        <w:tc>
          <w:tcPr>
            <w:tcW w:w="2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749B5B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Cross-model comparison, disagreement reconciliation, Objective 2 checklist</w:t>
            </w:r>
          </w:p>
        </w:tc>
        <w:tc>
          <w:tcPr>
            <w:tcW w:w="276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7897D2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This document</w:t>
            </w:r>
          </w:p>
        </w:tc>
      </w:tr>
    </w:tbl>
    <w:p w14:paraId="01A5F874" w14:textId="77777777" w:rsidR="008D6E8A" w:rsidRDefault="008D6E8A">
      <w:pPr>
        <w:spacing w:after="200"/>
        <w:rPr>
          <w:rFonts w:ascii="Times New Roman" w:hAnsi="Times New Roman" w:cs="Times New Roman"/>
        </w:rPr>
      </w:pPr>
    </w:p>
    <w:p w14:paraId="57392A2C" w14:textId="77777777" w:rsidR="008D6E8A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Two features of this data flow matter for reproducibility and are worth stating explicitly. First, Steps 2, 5, and 6 all read gene identity from the same single file, variant_metadata_with_genes.csv, built once in Step 2 - this is what guarantees a gene name can never differ between the Fisher's-test results, the SHAP results, and the EBM results. Second, Steps 5 and 6 explain two different models (</w:t>
      </w:r>
      <w:proofErr w:type="spellStart"/>
      <w:r>
        <w:rPr>
          <w:rFonts w:ascii="Times New Roman" w:hAnsi="Times New Roman" w:cs="Times New Roman"/>
        </w:rPr>
        <w:t>XGBoost</w:t>
      </w:r>
      <w:proofErr w:type="spellEnd"/>
      <w:r>
        <w:rPr>
          <w:rFonts w:ascii="Times New Roman" w:hAnsi="Times New Roman" w:cs="Times New Roman"/>
        </w:rPr>
        <w:t xml:space="preserve"> and EBM respectively) trained on the identical chi2-selected 5,000-feature input, which is what makes a direct comparison between their explanations meaningful rather than an apples-to-oranges comparison.</w:t>
      </w:r>
    </w:p>
    <w:p w14:paraId="4713B504" w14:textId="77777777" w:rsidR="008D6E8A" w:rsidRDefault="00000000">
      <w:pPr>
        <w:pStyle w:val="Heading1"/>
      </w:pPr>
      <w:r>
        <w:rPr>
          <w:rFonts w:ascii="Times New Roman" w:hAnsi="Times New Roman" w:cs="Times New Roman"/>
        </w:rPr>
        <w:t>3. Step 4 Recap - Model Development and Performance</w:t>
      </w:r>
    </w:p>
    <w:p w14:paraId="5A143BC9" w14:textId="77777777" w:rsidR="008D6E8A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Full methodology in Phase4A_Report.docx; summarised here as the performance baseline the rest of this report builds on. Four models were trained on the identical chi2-selected 5,000-feature input, each evaluated with 5-fold stratified cross-validation.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1600"/>
        <w:gridCol w:w="5400"/>
      </w:tblGrid>
      <w:tr w:rsidR="008D6E8A" w14:paraId="19914DD5" w14:textId="77777777">
        <w:trPr>
          <w:tblHeader/>
        </w:trPr>
        <w:tc>
          <w:tcPr>
            <w:tcW w:w="2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4665FC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1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C357D5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CV AUC</w:t>
            </w:r>
          </w:p>
        </w:tc>
        <w:tc>
          <w:tcPr>
            <w:tcW w:w="5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0D2D57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8D6E8A" w14:paraId="683E933E" w14:textId="77777777">
        <w:tc>
          <w:tcPr>
            <w:tcW w:w="2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639514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Logistic Regression</w:t>
            </w:r>
          </w:p>
        </w:tc>
        <w:tc>
          <w:tcPr>
            <w:tcW w:w="1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5B2303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0.9892</w:t>
            </w:r>
          </w:p>
        </w:tc>
        <w:tc>
          <w:tcPr>
            <w:tcW w:w="5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5B28F1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Baseline linear model; lowest cross-fold standard deviation (most stable)</w:t>
            </w:r>
          </w:p>
        </w:tc>
      </w:tr>
      <w:tr w:rsidR="008D6E8A" w14:paraId="3B9A7C33" w14:textId="77777777">
        <w:tc>
          <w:tcPr>
            <w:tcW w:w="2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A3AEBB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Random Forest</w:t>
            </w:r>
          </w:p>
        </w:tc>
        <w:tc>
          <w:tcPr>
            <w:tcW w:w="1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730369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0.9663</w:t>
            </w:r>
          </w:p>
        </w:tc>
        <w:tc>
          <w:tcPr>
            <w:tcW w:w="5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56DE49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Lowest AUC of the four; ensemble averaging over many trees</w:t>
            </w:r>
          </w:p>
        </w:tc>
      </w:tr>
      <w:tr w:rsidR="008D6E8A" w14:paraId="5D63FA1B" w14:textId="77777777">
        <w:tc>
          <w:tcPr>
            <w:tcW w:w="2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9B76A9" w14:textId="77777777" w:rsidR="008D6E8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  <w:szCs w:val="19"/>
              </w:rPr>
              <w:t>XGBoost</w:t>
            </w:r>
            <w:proofErr w:type="spellEnd"/>
          </w:p>
        </w:tc>
        <w:tc>
          <w:tcPr>
            <w:tcW w:w="1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240BD5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0.9935</w:t>
            </w:r>
          </w:p>
        </w:tc>
        <w:tc>
          <w:tcPr>
            <w:tcW w:w="5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E6CD70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Best-performing model; explained in depth by SHAP (Step 5)</w:t>
            </w:r>
          </w:p>
        </w:tc>
      </w:tr>
      <w:tr w:rsidR="008D6E8A" w14:paraId="764AE256" w14:textId="77777777">
        <w:tc>
          <w:tcPr>
            <w:tcW w:w="2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7ED564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EBM </w:t>
            </w:r>
            <w:proofErr w:type="spellStart"/>
            <w:r>
              <w:rPr>
                <w:rFonts w:ascii="Times New Roman" w:hAnsi="Times New Roman" w:cs="Times New Roman"/>
                <w:sz w:val="19"/>
                <w:szCs w:val="19"/>
              </w:rPr>
              <w:t>GlassBox</w:t>
            </w:r>
            <w:proofErr w:type="spellEnd"/>
          </w:p>
        </w:tc>
        <w:tc>
          <w:tcPr>
            <w:tcW w:w="1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CD59A3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0.9867</w:t>
            </w:r>
          </w:p>
        </w:tc>
        <w:tc>
          <w:tcPr>
            <w:tcW w:w="5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F482CE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Natively interpretable; explained by its own shape functions (Step 6)</w:t>
            </w:r>
          </w:p>
        </w:tc>
      </w:tr>
    </w:tbl>
    <w:p w14:paraId="31DA04B7" w14:textId="77777777" w:rsidR="008D6E8A" w:rsidRDefault="008D6E8A">
      <w:pPr>
        <w:spacing w:after="200"/>
        <w:rPr>
          <w:rFonts w:ascii="Times New Roman" w:hAnsi="Times New Roman" w:cs="Times New Roman"/>
        </w:rPr>
      </w:pPr>
    </w:p>
    <w:p w14:paraId="13F3A38B" w14:textId="77777777" w:rsidR="008D6E8A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For reference, the in-sample confusion matrices (fitted-model performance on the full dataset, not a held-out fold - illustrative of error patterns only, not the authoritative generalisation estimate):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2500"/>
        <w:gridCol w:w="2400"/>
        <w:gridCol w:w="2100"/>
      </w:tblGrid>
      <w:tr w:rsidR="008D6E8A" w14:paraId="4F20375C" w14:textId="77777777">
        <w:trPr>
          <w:tblHeader/>
        </w:trPr>
        <w:tc>
          <w:tcPr>
            <w:tcW w:w="2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D5D4C8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25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50A27F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True non-MDR correct</w:t>
            </w:r>
          </w:p>
        </w:tc>
        <w:tc>
          <w:tcPr>
            <w:tcW w:w="2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76B190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True MDR correct</w:t>
            </w:r>
          </w:p>
        </w:tc>
        <w:tc>
          <w:tcPr>
            <w:tcW w:w="21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86A978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In-sample accuracy</w:t>
            </w:r>
          </w:p>
        </w:tc>
      </w:tr>
      <w:tr w:rsidR="008D6E8A" w14:paraId="172CDA9B" w14:textId="77777777">
        <w:tc>
          <w:tcPr>
            <w:tcW w:w="2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F8AB4D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Logistic Regression</w:t>
            </w:r>
          </w:p>
        </w:tc>
        <w:tc>
          <w:tcPr>
            <w:tcW w:w="25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D06B82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972 / 987 (98.5%)</w:t>
            </w:r>
          </w:p>
        </w:tc>
        <w:tc>
          <w:tcPr>
            <w:tcW w:w="2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B93F74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847 / 871 (97.2%)</w:t>
            </w:r>
          </w:p>
        </w:tc>
        <w:tc>
          <w:tcPr>
            <w:tcW w:w="21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C42E32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97.9%</w:t>
            </w:r>
          </w:p>
        </w:tc>
      </w:tr>
      <w:tr w:rsidR="008D6E8A" w14:paraId="2C015E1D" w14:textId="77777777">
        <w:tc>
          <w:tcPr>
            <w:tcW w:w="2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CB26C1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Random Forest</w:t>
            </w:r>
          </w:p>
        </w:tc>
        <w:tc>
          <w:tcPr>
            <w:tcW w:w="25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9A87AA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955 / 987 (96.8%)</w:t>
            </w:r>
          </w:p>
        </w:tc>
        <w:tc>
          <w:tcPr>
            <w:tcW w:w="2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535E86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753 / 871 (86.5%)</w:t>
            </w:r>
          </w:p>
        </w:tc>
        <w:tc>
          <w:tcPr>
            <w:tcW w:w="21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5E0562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91.9%</w:t>
            </w:r>
          </w:p>
        </w:tc>
      </w:tr>
      <w:tr w:rsidR="008D6E8A" w14:paraId="1E687A09" w14:textId="77777777">
        <w:tc>
          <w:tcPr>
            <w:tcW w:w="2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844C63" w14:textId="77777777" w:rsidR="008D6E8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  <w:szCs w:val="19"/>
              </w:rPr>
              <w:t>XGBoost</w:t>
            </w:r>
            <w:proofErr w:type="spellEnd"/>
          </w:p>
        </w:tc>
        <w:tc>
          <w:tcPr>
            <w:tcW w:w="25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73413E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983 / 987 (99.6%)</w:t>
            </w:r>
          </w:p>
        </w:tc>
        <w:tc>
          <w:tcPr>
            <w:tcW w:w="2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9AA1BE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864 / 871 (99.2%)</w:t>
            </w:r>
          </w:p>
        </w:tc>
        <w:tc>
          <w:tcPr>
            <w:tcW w:w="21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3BD507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99.4%</w:t>
            </w:r>
          </w:p>
        </w:tc>
      </w:tr>
      <w:tr w:rsidR="008D6E8A" w14:paraId="339786DB" w14:textId="77777777">
        <w:tc>
          <w:tcPr>
            <w:tcW w:w="2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1E74ED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EBM </w:t>
            </w:r>
            <w:proofErr w:type="spellStart"/>
            <w:r>
              <w:rPr>
                <w:rFonts w:ascii="Times New Roman" w:hAnsi="Times New Roman" w:cs="Times New Roman"/>
                <w:sz w:val="19"/>
                <w:szCs w:val="19"/>
              </w:rPr>
              <w:t>GlassBox</w:t>
            </w:r>
            <w:proofErr w:type="spellEnd"/>
          </w:p>
        </w:tc>
        <w:tc>
          <w:tcPr>
            <w:tcW w:w="25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7870C8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980 / 987 (99.3%)</w:t>
            </w:r>
          </w:p>
        </w:tc>
        <w:tc>
          <w:tcPr>
            <w:tcW w:w="2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8B6379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858 / 871 (98.5%)</w:t>
            </w:r>
          </w:p>
        </w:tc>
        <w:tc>
          <w:tcPr>
            <w:tcW w:w="21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74095A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98.9%</w:t>
            </w:r>
          </w:p>
        </w:tc>
      </w:tr>
    </w:tbl>
    <w:p w14:paraId="571D4C22" w14:textId="77777777" w:rsidR="008D6E8A" w:rsidRDefault="008D6E8A">
      <w:pPr>
        <w:spacing w:after="200"/>
        <w:rPr>
          <w:rFonts w:ascii="Times New Roman" w:hAnsi="Times New Roman" w:cs="Times New Roman"/>
        </w:rPr>
      </w:pPr>
    </w:p>
    <w:p w14:paraId="19FEA69F" w14:textId="77777777" w:rsidR="008D6E8A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Precision and recall are close for all four models on the corrected data. XGBoost is the only one where recall edges out precision (95.9% vs 95.7%); the other three (Logistic Regression, Random Forest, EBM) all show precision slightly ahead of recall instead - the reverse of what a pre-fix version of this report claimed for all four. Given how close these are, no strong clinical precision/recall trade-off claim should be drawn from this alone; CV AUC remains the primary basis for model selection throughout this project. XGBoost's higher in-sample accuracy relative to its CV AUC margin over the other three models is still consistent with it fitting the training data most closely of the four; this is exactly why the CV AUC, not the in-sample figures, is used as the model-selection criterion.</w:t>
      </w:r>
    </w:p>
    <w:p w14:paraId="594AD550" w14:textId="77777777" w:rsidR="00EF0D20" w:rsidRDefault="00EF0D20">
      <w:pPr>
        <w:spacing w:after="160"/>
        <w:rPr>
          <w:rFonts w:ascii="Times New Roman" w:hAnsi="Times New Roman" w:cs="Times New Roman"/>
        </w:rPr>
      </w:pPr>
    </w:p>
    <w:p w14:paraId="26E636B4" w14:textId="77777777" w:rsidR="00EF0D20" w:rsidRDefault="00EF0D20">
      <w:pPr>
        <w:spacing w:after="160"/>
        <w:rPr>
          <w:rFonts w:ascii="Times New Roman" w:hAnsi="Times New Roman" w:cs="Times New Roman"/>
        </w:rPr>
      </w:pPr>
    </w:p>
    <w:p w14:paraId="68CD6CA8" w14:textId="77777777" w:rsidR="00EF0D20" w:rsidRDefault="00EF0D20">
      <w:pPr>
        <w:spacing w:after="160"/>
        <w:rPr>
          <w:rFonts w:ascii="Times New Roman" w:hAnsi="Times New Roman" w:cs="Times New Roman"/>
        </w:rPr>
      </w:pPr>
    </w:p>
    <w:p w14:paraId="2BCE5DFF" w14:textId="77777777" w:rsidR="00EF0D20" w:rsidRDefault="00EF0D20">
      <w:pPr>
        <w:spacing w:after="160"/>
        <w:rPr>
          <w:rFonts w:ascii="Times New Roman" w:hAnsi="Times New Roman" w:cs="Times New Roman"/>
        </w:rPr>
      </w:pPr>
    </w:p>
    <w:p w14:paraId="26F8C7DF" w14:textId="77777777" w:rsidR="00EF0D20" w:rsidRDefault="00EF0D20">
      <w:pPr>
        <w:spacing w:after="160"/>
        <w:rPr>
          <w:rFonts w:ascii="Times New Roman" w:hAnsi="Times New Roman" w:cs="Times New Roman"/>
        </w:rPr>
      </w:pPr>
    </w:p>
    <w:p w14:paraId="31186D63" w14:textId="77777777" w:rsidR="00EF0D20" w:rsidRDefault="00EF0D20">
      <w:pPr>
        <w:spacing w:after="160"/>
        <w:rPr>
          <w:rFonts w:ascii="Times New Roman" w:hAnsi="Times New Roman" w:cs="Times New Roman"/>
        </w:rPr>
      </w:pPr>
    </w:p>
    <w:p w14:paraId="067F77F1" w14:textId="77777777" w:rsidR="008D6E8A" w:rsidRDefault="00000000">
      <w:pPr>
        <w:pStyle w:val="Heading1"/>
      </w:pPr>
      <w:r>
        <w:rPr>
          <w:rFonts w:ascii="Times New Roman" w:hAnsi="Times New Roman" w:cs="Times New Roman"/>
        </w:rPr>
        <w:lastRenderedPageBreak/>
        <w:t xml:space="preserve">4. Step 5 Recap - SHAP Explanation of </w:t>
      </w:r>
      <w:proofErr w:type="spellStart"/>
      <w:r>
        <w:rPr>
          <w:rFonts w:ascii="Times New Roman" w:hAnsi="Times New Roman" w:cs="Times New Roman"/>
        </w:rPr>
        <w:t>XGBoost</w:t>
      </w:r>
      <w:proofErr w:type="spellEnd"/>
    </w:p>
    <w:p w14:paraId="632900DC" w14:textId="77777777" w:rsidR="008D6E8A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Full methodology in Phase4B_Step5_Report.docx. SHAP </w:t>
      </w:r>
      <w:proofErr w:type="spellStart"/>
      <w:r>
        <w:rPr>
          <w:rFonts w:ascii="Times New Roman" w:hAnsi="Times New Roman" w:cs="Times New Roman"/>
        </w:rPr>
        <w:t>TreeExplainer</w:t>
      </w:r>
      <w:proofErr w:type="spellEnd"/>
      <w:r>
        <w:rPr>
          <w:rFonts w:ascii="Times New Roman" w:hAnsi="Times New Roman" w:cs="Times New Roman"/>
        </w:rPr>
        <w:t xml:space="preserve"> produced exact Shapley values for all 1,858 x 94,583 cells of the matrix, on the raw (log-odds) output scale.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5600"/>
      </w:tblGrid>
      <w:tr w:rsidR="008D6E8A" w14:paraId="29BA4187" w14:textId="77777777">
        <w:trPr>
          <w:tblHeader/>
        </w:trPr>
        <w:tc>
          <w:tcPr>
            <w:tcW w:w="3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12ED7C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Finding</w:t>
            </w:r>
          </w:p>
        </w:tc>
        <w:tc>
          <w:tcPr>
            <w:tcW w:w="5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2D87A9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8D6E8A" w14:paraId="537077CE" w14:textId="77777777">
        <w:tc>
          <w:tcPr>
            <w:tcW w:w="3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709781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Top feature</w:t>
            </w:r>
          </w:p>
        </w:tc>
        <w:tc>
          <w:tcPr>
            <w:tcW w:w="5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712A4C" w14:textId="77777777" w:rsidR="008D6E8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  <w:szCs w:val="19"/>
              </w:rPr>
              <w:t>katG</w:t>
            </w:r>
            <w:proofErr w:type="spellEnd"/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(Chromosome_2155168_C_G), </w:t>
            </w:r>
            <w:proofErr w:type="spellStart"/>
            <w:r>
              <w:rPr>
                <w:rFonts w:ascii="Times New Roman" w:hAnsi="Times New Roman" w:cs="Times New Roman"/>
                <w:sz w:val="19"/>
                <w:szCs w:val="19"/>
              </w:rPr>
              <w:t>mean|SHAP</w:t>
            </w:r>
            <w:proofErr w:type="spellEnd"/>
            <w:r>
              <w:rPr>
                <w:rFonts w:ascii="Times New Roman" w:hAnsi="Times New Roman" w:cs="Times New Roman"/>
                <w:sz w:val="19"/>
                <w:szCs w:val="19"/>
              </w:rPr>
              <w:t>|=1.7926</w:t>
            </w:r>
          </w:p>
        </w:tc>
      </w:tr>
      <w:tr w:rsidR="008D6E8A" w14:paraId="7A529C29" w14:textId="77777777">
        <w:tc>
          <w:tcPr>
            <w:tcW w:w="3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B0FDA5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Compensatory-gene variants in top 100</w:t>
            </w:r>
          </w:p>
        </w:tc>
        <w:tc>
          <w:tcPr>
            <w:tcW w:w="5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FF5452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2 (both embR, ranks 70 and 73 of 94,583)</w:t>
            </w:r>
          </w:p>
        </w:tc>
      </w:tr>
      <w:tr w:rsidR="008D6E8A" w14:paraId="09DA3A99" w14:textId="77777777">
        <w:tc>
          <w:tcPr>
            <w:tcW w:w="3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3DD0F2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Primary-DR-gene variants in top 100</w:t>
            </w:r>
          </w:p>
        </w:tc>
        <w:tc>
          <w:tcPr>
            <w:tcW w:w="5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85BE17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14</w:t>
            </w:r>
          </w:p>
        </w:tc>
      </w:tr>
      <w:tr w:rsidR="008D6E8A" w14:paraId="1FF736B5" w14:textId="77777777">
        <w:tc>
          <w:tcPr>
            <w:tcW w:w="3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06A294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PE_PGRS/PPE enrichment</w:t>
            </w:r>
          </w:p>
        </w:tc>
        <w:tc>
          <w:tcPr>
            <w:tcW w:w="5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97B492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33% of top 100 vs 1.82% background - ~18-fold enrichment</w:t>
            </w:r>
          </w:p>
        </w:tc>
      </w:tr>
      <w:tr w:rsidR="008D6E8A" w14:paraId="1E5F3E7A" w14:textId="77777777">
        <w:tc>
          <w:tcPr>
            <w:tcW w:w="3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FA8648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Cross-model consensus (SHAP + RF + EBM)</w:t>
            </w:r>
          </w:p>
        </w:tc>
        <w:tc>
          <w:tcPr>
            <w:tcW w:w="5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FE71C4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5 features agree across all three</w:t>
            </w:r>
          </w:p>
        </w:tc>
      </w:tr>
    </w:tbl>
    <w:p w14:paraId="46EC92BB" w14:textId="77777777" w:rsidR="008D6E8A" w:rsidRDefault="008D6E8A">
      <w:pPr>
        <w:spacing w:after="200"/>
        <w:rPr>
          <w:rFonts w:ascii="Times New Roman" w:hAnsi="Times New Roman" w:cs="Times New Roman"/>
        </w:rPr>
      </w:pPr>
    </w:p>
    <w:p w14:paraId="7CC5E38D" w14:textId="77777777" w:rsidR="008D6E8A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verification check (Phase4B_Step5_Addendum_PE_PGRS_Check.docx), followed by a paralogy check confirming the mechanism at the weakest positions, found this enrichment is not uniform: of the 33 enriched positions, 10 show genuinely low VCF call-confidence (mean QUAL 70-87, below the single weakest primary-DR position), 21 sit in an intermediate range, and 2 match or exceed the tight majority cluster of primary-DR positions. Any downstream claim built on a specific PE_PGRS/PPE position should be checked against that report's position-level table before being treated as reliable.</w:t>
      </w:r>
    </w:p>
    <w:p w14:paraId="4EB78D56" w14:textId="77777777" w:rsidR="008D6E8A" w:rsidRDefault="00000000">
      <w:pPr>
        <w:pStyle w:val="Heading1"/>
      </w:pPr>
      <w:r>
        <w:rPr>
          <w:rFonts w:ascii="Times New Roman" w:hAnsi="Times New Roman" w:cs="Times New Roman"/>
        </w:rPr>
        <w:t>5. Step 6 - EBM Deep Analysis (Full Methodology and Results)</w:t>
      </w:r>
    </w:p>
    <w:p w14:paraId="72B5F27B" w14:textId="77777777" w:rsidR="008D6E8A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6 has not previously been written up as a standalone report; this section documents it in full.</w:t>
      </w:r>
    </w:p>
    <w:p w14:paraId="49245B82" w14:textId="77777777" w:rsidR="008D6E8A" w:rsidRDefault="00000000">
      <w:pPr>
        <w:pStyle w:val="Heading2"/>
      </w:pPr>
      <w:r>
        <w:rPr>
          <w:rFonts w:ascii="Times New Roman" w:hAnsi="Times New Roman" w:cs="Times New Roman"/>
        </w:rPr>
        <w:t xml:space="preserve">5.1 Why EBM needs a different explanation method than </w:t>
      </w:r>
      <w:proofErr w:type="spellStart"/>
      <w:r>
        <w:rPr>
          <w:rFonts w:ascii="Times New Roman" w:hAnsi="Times New Roman" w:cs="Times New Roman"/>
        </w:rPr>
        <w:t>XGBoost</w:t>
      </w:r>
      <w:proofErr w:type="spellEnd"/>
    </w:p>
    <w:p w14:paraId="12D769C3" w14:textId="77777777" w:rsidR="008D6E8A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EBM (Explainable Boosting Machine) is a Generalized Additive Model with pairwise interactions (GA2M): its prediction genuinely is intercept + sum of per-feature shape functions + sum of a small number of pairwise interaction functions. Unlike </w:t>
      </w:r>
      <w:proofErr w:type="spellStart"/>
      <w:r>
        <w:rPr>
          <w:rFonts w:ascii="Times New Roman" w:hAnsi="Times New Roman" w:cs="Times New Roman"/>
        </w:rPr>
        <w:t>XGBoost</w:t>
      </w:r>
      <w:proofErr w:type="spellEnd"/>
      <w:r>
        <w:rPr>
          <w:rFonts w:ascii="Times New Roman" w:hAnsi="Times New Roman" w:cs="Times New Roman"/>
        </w:rPr>
        <w:t xml:space="preserve">, which needed SHAP's </w:t>
      </w:r>
      <w:proofErr w:type="spellStart"/>
      <w:r>
        <w:rPr>
          <w:rFonts w:ascii="Times New Roman" w:hAnsi="Times New Roman" w:cs="Times New Roman"/>
        </w:rPr>
        <w:t>TreeExplainer</w:t>
      </w:r>
      <w:proofErr w:type="spellEnd"/>
      <w:r>
        <w:rPr>
          <w:rFonts w:ascii="Times New Roman" w:hAnsi="Times New Roman" w:cs="Times New Roman"/>
        </w:rPr>
        <w:t xml:space="preserve"> to approximate an explanation of an otherwise opaque ensemble of trees, EBM's own internal structure already is the explanation - no post-hoc approximation step is required, and the explanation is exact by construction rather than estimated.</w:t>
      </w:r>
    </w:p>
    <w:p w14:paraId="6D012804" w14:textId="77777777" w:rsidR="008D6E8A" w:rsidRDefault="00000000">
      <w:pPr>
        <w:pStyle w:val="Heading2"/>
      </w:pPr>
      <w:r>
        <w:rPr>
          <w:rFonts w:ascii="Times New Roman" w:hAnsi="Times New Roman" w:cs="Times New Roman"/>
        </w:rPr>
        <w:t>5.2 Model structure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00"/>
        <w:gridCol w:w="5200"/>
      </w:tblGrid>
      <w:tr w:rsidR="008D6E8A" w14:paraId="45D2A77E" w14:textId="77777777">
        <w:trPr>
          <w:tblHeader/>
        </w:trPr>
        <w:tc>
          <w:tcPr>
            <w:tcW w:w="40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691AE9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Property</w:t>
            </w:r>
          </w:p>
        </w:tc>
        <w:tc>
          <w:tcPr>
            <w:tcW w:w="52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3A476B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8D6E8A" w14:paraId="6E44CF53" w14:textId="77777777">
        <w:tc>
          <w:tcPr>
            <w:tcW w:w="40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705B86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Total terms</w:t>
            </w:r>
          </w:p>
        </w:tc>
        <w:tc>
          <w:tcPr>
            <w:tcW w:w="52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3F9DA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5,007</w:t>
            </w:r>
          </w:p>
        </w:tc>
      </w:tr>
      <w:tr w:rsidR="008D6E8A" w14:paraId="0A5D9234" w14:textId="77777777">
        <w:tc>
          <w:tcPr>
            <w:tcW w:w="40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D286A8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Main-effect terms</w:t>
            </w:r>
          </w:p>
        </w:tc>
        <w:tc>
          <w:tcPr>
            <w:tcW w:w="52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84BD44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5,000 (one per chi2-selected feature)</w:t>
            </w:r>
          </w:p>
        </w:tc>
      </w:tr>
      <w:tr w:rsidR="008D6E8A" w14:paraId="022FEB17" w14:textId="77777777">
        <w:tc>
          <w:tcPr>
            <w:tcW w:w="40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BE86B8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Interaction terms</w:t>
            </w:r>
          </w:p>
        </w:tc>
        <w:tc>
          <w:tcPr>
            <w:tcW w:w="52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4312AB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7 (fixed at model-training time)</w:t>
            </w:r>
          </w:p>
        </w:tc>
      </w:tr>
      <w:tr w:rsidR="008D6E8A" w14:paraId="68FF9314" w14:textId="77777777">
        <w:tc>
          <w:tcPr>
            <w:tcW w:w="40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5A70FB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Intercept (baseline, log-odds)</w:t>
            </w:r>
          </w:p>
        </w:tc>
        <w:tc>
          <w:tcPr>
            <w:tcW w:w="52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ACF353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-5.1932</w:t>
            </w:r>
          </w:p>
        </w:tc>
      </w:tr>
    </w:tbl>
    <w:p w14:paraId="2FBA5250" w14:textId="77777777" w:rsidR="008D6E8A" w:rsidRDefault="008D6E8A">
      <w:pPr>
        <w:spacing w:after="200"/>
        <w:rPr>
          <w:rFonts w:ascii="Times New Roman" w:hAnsi="Times New Roman" w:cs="Times New Roman"/>
        </w:rPr>
      </w:pPr>
    </w:p>
    <w:p w14:paraId="19F49E0F" w14:textId="77777777" w:rsidR="000904FB" w:rsidRDefault="000904FB">
      <w:pPr>
        <w:pStyle w:val="Heading2"/>
        <w:rPr>
          <w:rFonts w:ascii="Times New Roman" w:hAnsi="Times New Roman" w:cs="Times New Roman"/>
        </w:rPr>
      </w:pPr>
    </w:p>
    <w:p w14:paraId="58605481" w14:textId="77777777" w:rsidR="000904FB" w:rsidRDefault="000904FB">
      <w:pPr>
        <w:pStyle w:val="Heading2"/>
        <w:rPr>
          <w:rFonts w:ascii="Times New Roman" w:hAnsi="Times New Roman" w:cs="Times New Roman"/>
        </w:rPr>
      </w:pPr>
    </w:p>
    <w:p w14:paraId="0296B567" w14:textId="77777777" w:rsidR="000904FB" w:rsidRDefault="000904FB">
      <w:pPr>
        <w:pStyle w:val="Heading2"/>
        <w:rPr>
          <w:rFonts w:ascii="Times New Roman" w:hAnsi="Times New Roman" w:cs="Times New Roman"/>
        </w:rPr>
      </w:pPr>
    </w:p>
    <w:p w14:paraId="6AB9F068" w14:textId="77777777" w:rsidR="008D6E8A" w:rsidRDefault="00000000">
      <w:pPr>
        <w:pStyle w:val="Heading2"/>
      </w:pPr>
      <w:r>
        <w:rPr>
          <w:rFonts w:ascii="Times New Roman" w:hAnsi="Times New Roman" w:cs="Times New Roman"/>
        </w:rPr>
        <w:lastRenderedPageBreak/>
        <w:t>5.3 Global term ranking - top 20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1700"/>
        <w:gridCol w:w="5000"/>
        <w:gridCol w:w="1600"/>
      </w:tblGrid>
      <w:tr w:rsidR="008D6E8A" w14:paraId="56F65986" w14:textId="77777777">
        <w:trPr>
          <w:tblHeader/>
        </w:trPr>
        <w:tc>
          <w:tcPr>
            <w:tcW w:w="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48A444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Rank</w:t>
            </w:r>
          </w:p>
        </w:tc>
        <w:tc>
          <w:tcPr>
            <w:tcW w:w="1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D2B76B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0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D3614E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Feature(s)</w:t>
            </w:r>
          </w:p>
        </w:tc>
        <w:tc>
          <w:tcPr>
            <w:tcW w:w="1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48DA96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Importance</w:t>
            </w:r>
          </w:p>
        </w:tc>
      </w:tr>
      <w:tr w:rsidR="008D6E8A" w14:paraId="2E2273A5" w14:textId="77777777">
        <w:tc>
          <w:tcPr>
            <w:tcW w:w="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D549E3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806BFE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main effect</w:t>
            </w:r>
          </w:p>
        </w:tc>
        <w:tc>
          <w:tcPr>
            <w:tcW w:w="50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BBEA02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Chromosome_2155168_C_G</w:t>
            </w:r>
          </w:p>
        </w:tc>
        <w:tc>
          <w:tcPr>
            <w:tcW w:w="1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0D166F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1.4119</w:t>
            </w:r>
          </w:p>
        </w:tc>
      </w:tr>
      <w:tr w:rsidR="008D6E8A" w14:paraId="59560845" w14:textId="77777777">
        <w:tc>
          <w:tcPr>
            <w:tcW w:w="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BB5A2E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7F7D5E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main effect</w:t>
            </w:r>
          </w:p>
        </w:tc>
        <w:tc>
          <w:tcPr>
            <w:tcW w:w="50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F92CEE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Chromosome_761155_C_T</w:t>
            </w:r>
          </w:p>
        </w:tc>
        <w:tc>
          <w:tcPr>
            <w:tcW w:w="1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3D7FA1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0.5682</w:t>
            </w:r>
          </w:p>
        </w:tc>
      </w:tr>
      <w:tr w:rsidR="008D6E8A" w14:paraId="1A775B10" w14:textId="77777777">
        <w:tc>
          <w:tcPr>
            <w:tcW w:w="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883587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3</w:t>
            </w:r>
          </w:p>
        </w:tc>
        <w:tc>
          <w:tcPr>
            <w:tcW w:w="1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7A5C8E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main effect</w:t>
            </w:r>
          </w:p>
        </w:tc>
        <w:tc>
          <w:tcPr>
            <w:tcW w:w="50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3D6543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Chromosome_761110_A_T</w:t>
            </w:r>
          </w:p>
        </w:tc>
        <w:tc>
          <w:tcPr>
            <w:tcW w:w="1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62A597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0.4815</w:t>
            </w:r>
          </w:p>
        </w:tc>
      </w:tr>
      <w:tr w:rsidR="008D6E8A" w14:paraId="1B98A554" w14:textId="77777777">
        <w:tc>
          <w:tcPr>
            <w:tcW w:w="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ED3A0B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4</w:t>
            </w:r>
          </w:p>
        </w:tc>
        <w:tc>
          <w:tcPr>
            <w:tcW w:w="1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D8B1E7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main effect</w:t>
            </w:r>
          </w:p>
        </w:tc>
        <w:tc>
          <w:tcPr>
            <w:tcW w:w="50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2DD923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Chromosome_1673425_C_T</w:t>
            </w:r>
          </w:p>
        </w:tc>
        <w:tc>
          <w:tcPr>
            <w:tcW w:w="1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EFF50D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0.3171</w:t>
            </w:r>
          </w:p>
        </w:tc>
      </w:tr>
      <w:tr w:rsidR="008D6E8A" w14:paraId="0A25AA90" w14:textId="77777777">
        <w:tc>
          <w:tcPr>
            <w:tcW w:w="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0B446F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1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4D23A7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main effect</w:t>
            </w:r>
          </w:p>
        </w:tc>
        <w:tc>
          <w:tcPr>
            <w:tcW w:w="50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5D8288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Chromosome_4247429_A_G</w:t>
            </w:r>
          </w:p>
        </w:tc>
        <w:tc>
          <w:tcPr>
            <w:tcW w:w="1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654C1C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0.2842</w:t>
            </w:r>
          </w:p>
        </w:tc>
      </w:tr>
      <w:tr w:rsidR="008D6E8A" w14:paraId="7C39969A" w14:textId="77777777">
        <w:tc>
          <w:tcPr>
            <w:tcW w:w="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0D085D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6</w:t>
            </w:r>
          </w:p>
        </w:tc>
        <w:tc>
          <w:tcPr>
            <w:tcW w:w="1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06BE83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main effect</w:t>
            </w:r>
          </w:p>
        </w:tc>
        <w:tc>
          <w:tcPr>
            <w:tcW w:w="50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C7828F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Chromosome_7570_C_T</w:t>
            </w:r>
          </w:p>
        </w:tc>
        <w:tc>
          <w:tcPr>
            <w:tcW w:w="1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E848B2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0.2263</w:t>
            </w:r>
          </w:p>
        </w:tc>
      </w:tr>
      <w:tr w:rsidR="008D6E8A" w14:paraId="59A4C5F6" w14:textId="77777777">
        <w:tc>
          <w:tcPr>
            <w:tcW w:w="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537CCB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7</w:t>
            </w:r>
          </w:p>
        </w:tc>
        <w:tc>
          <w:tcPr>
            <w:tcW w:w="1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E7527C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main effect</w:t>
            </w:r>
          </w:p>
        </w:tc>
        <w:tc>
          <w:tcPr>
            <w:tcW w:w="50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54379C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Chromosome_4247431_G_C</w:t>
            </w:r>
          </w:p>
        </w:tc>
        <w:tc>
          <w:tcPr>
            <w:tcW w:w="1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E65055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0.2079</w:t>
            </w:r>
          </w:p>
        </w:tc>
      </w:tr>
      <w:tr w:rsidR="008D6E8A" w14:paraId="3CDC6956" w14:textId="77777777">
        <w:tc>
          <w:tcPr>
            <w:tcW w:w="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4B5C97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8</w:t>
            </w:r>
          </w:p>
        </w:tc>
        <w:tc>
          <w:tcPr>
            <w:tcW w:w="1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2BC7BF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main effect</w:t>
            </w:r>
          </w:p>
        </w:tc>
        <w:tc>
          <w:tcPr>
            <w:tcW w:w="50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9AE1C0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Chromosome_7582_A_G</w:t>
            </w:r>
          </w:p>
        </w:tc>
        <w:tc>
          <w:tcPr>
            <w:tcW w:w="1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D343CA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0.1985</w:t>
            </w:r>
          </w:p>
        </w:tc>
      </w:tr>
      <w:tr w:rsidR="008D6E8A" w14:paraId="3996B9C2" w14:textId="77777777">
        <w:tc>
          <w:tcPr>
            <w:tcW w:w="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C1D09F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9</w:t>
            </w:r>
          </w:p>
        </w:tc>
        <w:tc>
          <w:tcPr>
            <w:tcW w:w="1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6D4F70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main effect</w:t>
            </w:r>
          </w:p>
        </w:tc>
        <w:tc>
          <w:tcPr>
            <w:tcW w:w="50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8D2FEA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Chromosome_1674048_G_A</w:t>
            </w:r>
          </w:p>
        </w:tc>
        <w:tc>
          <w:tcPr>
            <w:tcW w:w="1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73EEA3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0.1836</w:t>
            </w:r>
          </w:p>
        </w:tc>
      </w:tr>
      <w:tr w:rsidR="008D6E8A" w14:paraId="7CAFC314" w14:textId="77777777">
        <w:tc>
          <w:tcPr>
            <w:tcW w:w="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611972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10</w:t>
            </w:r>
          </w:p>
        </w:tc>
        <w:tc>
          <w:tcPr>
            <w:tcW w:w="1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1A1FAE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main effect</w:t>
            </w:r>
          </w:p>
        </w:tc>
        <w:tc>
          <w:tcPr>
            <w:tcW w:w="50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3E13F4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Chromosome_362466_A_C</w:t>
            </w:r>
          </w:p>
        </w:tc>
        <w:tc>
          <w:tcPr>
            <w:tcW w:w="1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9044E5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0.1826</w:t>
            </w:r>
          </w:p>
        </w:tc>
      </w:tr>
      <w:tr w:rsidR="008D6E8A" w14:paraId="07FD6D47" w14:textId="77777777">
        <w:tc>
          <w:tcPr>
            <w:tcW w:w="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DBD7D0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11</w:t>
            </w:r>
          </w:p>
        </w:tc>
        <w:tc>
          <w:tcPr>
            <w:tcW w:w="1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F34902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main effect</w:t>
            </w:r>
          </w:p>
        </w:tc>
        <w:tc>
          <w:tcPr>
            <w:tcW w:w="50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44DB13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Chromosome_1673432_T_A</w:t>
            </w:r>
          </w:p>
        </w:tc>
        <w:tc>
          <w:tcPr>
            <w:tcW w:w="1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95196F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0.1532</w:t>
            </w:r>
          </w:p>
        </w:tc>
      </w:tr>
      <w:tr w:rsidR="00C074B4" w14:paraId="56EB00B4" w14:textId="77777777">
        <w:tc>
          <w:tcPr>
            <w:tcW w:w="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55E7E1" w14:textId="77777777" w:rsidR="00C074B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12</w:t>
            </w:r>
          </w:p>
        </w:tc>
        <w:tc>
          <w:tcPr>
            <w:tcW w:w="1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AD673A" w14:textId="77777777" w:rsidR="00C074B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main effect</w:t>
            </w:r>
          </w:p>
        </w:tc>
        <w:tc>
          <w:tcPr>
            <w:tcW w:w="50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5DD04D" w14:textId="77777777" w:rsidR="00C074B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Chromosome_335956_C_T</w:t>
            </w:r>
          </w:p>
        </w:tc>
        <w:tc>
          <w:tcPr>
            <w:tcW w:w="1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0CBE3C" w14:textId="77777777" w:rsidR="00C074B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0.1523</w:t>
            </w:r>
          </w:p>
        </w:tc>
      </w:tr>
      <w:tr w:rsidR="00C074B4" w14:paraId="38EC007E" w14:textId="77777777">
        <w:tc>
          <w:tcPr>
            <w:tcW w:w="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86CB71" w14:textId="77777777" w:rsidR="00C074B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13</w:t>
            </w:r>
          </w:p>
        </w:tc>
        <w:tc>
          <w:tcPr>
            <w:tcW w:w="1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375D8F" w14:textId="77777777" w:rsidR="00C074B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main effect</w:t>
            </w:r>
          </w:p>
        </w:tc>
        <w:tc>
          <w:tcPr>
            <w:tcW w:w="50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0CF092" w14:textId="77777777" w:rsidR="00C074B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Chromosome_1644362_C_T</w:t>
            </w:r>
          </w:p>
        </w:tc>
        <w:tc>
          <w:tcPr>
            <w:tcW w:w="1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75DEAB" w14:textId="77777777" w:rsidR="00C074B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0.1471</w:t>
            </w:r>
          </w:p>
        </w:tc>
      </w:tr>
      <w:tr w:rsidR="00C074B4" w14:paraId="5EDC6F0A" w14:textId="77777777">
        <w:tc>
          <w:tcPr>
            <w:tcW w:w="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DBA85B" w14:textId="77777777" w:rsidR="00C074B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14</w:t>
            </w:r>
          </w:p>
        </w:tc>
        <w:tc>
          <w:tcPr>
            <w:tcW w:w="1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D688F2" w14:textId="77777777" w:rsidR="00C074B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main effect</w:t>
            </w:r>
          </w:p>
        </w:tc>
        <w:tc>
          <w:tcPr>
            <w:tcW w:w="50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50763E" w14:textId="77777777" w:rsidR="00C074B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Chromosome_4052245_A_G</w:t>
            </w:r>
          </w:p>
        </w:tc>
        <w:tc>
          <w:tcPr>
            <w:tcW w:w="1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D5098E" w14:textId="77777777" w:rsidR="00C074B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0.1434</w:t>
            </w:r>
          </w:p>
        </w:tc>
      </w:tr>
      <w:tr w:rsidR="00C074B4" w14:paraId="5BA4E227" w14:textId="77777777">
        <w:tc>
          <w:tcPr>
            <w:tcW w:w="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9CC666" w14:textId="77777777" w:rsidR="00C074B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15</w:t>
            </w:r>
          </w:p>
        </w:tc>
        <w:tc>
          <w:tcPr>
            <w:tcW w:w="1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7402E2" w14:textId="77777777" w:rsidR="00C074B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main effect</w:t>
            </w:r>
          </w:p>
        </w:tc>
        <w:tc>
          <w:tcPr>
            <w:tcW w:w="50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9F6B0C" w14:textId="77777777" w:rsidR="00C074B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Chromosome_3752934_A_T</w:t>
            </w:r>
          </w:p>
        </w:tc>
        <w:tc>
          <w:tcPr>
            <w:tcW w:w="1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DA881E" w14:textId="77777777" w:rsidR="00C074B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0.1418</w:t>
            </w:r>
          </w:p>
        </w:tc>
      </w:tr>
      <w:tr w:rsidR="00C074B4" w14:paraId="58AC979E" w14:textId="77777777">
        <w:tc>
          <w:tcPr>
            <w:tcW w:w="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84EABA" w14:textId="77777777" w:rsidR="00C074B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16</w:t>
            </w:r>
          </w:p>
        </w:tc>
        <w:tc>
          <w:tcPr>
            <w:tcW w:w="1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2DC561" w14:textId="77777777" w:rsidR="00C074B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main effect</w:t>
            </w:r>
          </w:p>
        </w:tc>
        <w:tc>
          <w:tcPr>
            <w:tcW w:w="50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F9CB9E" w14:textId="77777777" w:rsidR="00C074B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Chromosome_840217_C_G</w:t>
            </w:r>
          </w:p>
        </w:tc>
        <w:tc>
          <w:tcPr>
            <w:tcW w:w="1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053AC5" w14:textId="77777777" w:rsidR="00C074B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0.1298</w:t>
            </w:r>
          </w:p>
        </w:tc>
      </w:tr>
      <w:tr w:rsidR="00C074B4" w14:paraId="575373F0" w14:textId="77777777">
        <w:tc>
          <w:tcPr>
            <w:tcW w:w="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417292" w14:textId="77777777" w:rsidR="00C074B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17</w:t>
            </w:r>
          </w:p>
        </w:tc>
        <w:tc>
          <w:tcPr>
            <w:tcW w:w="1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D533A4" w14:textId="77777777" w:rsidR="00C074B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main effect</w:t>
            </w:r>
          </w:p>
        </w:tc>
        <w:tc>
          <w:tcPr>
            <w:tcW w:w="50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2AE3EF" w14:textId="77777777" w:rsidR="00C074B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Chromosome_781687_A_G</w:t>
            </w:r>
          </w:p>
        </w:tc>
        <w:tc>
          <w:tcPr>
            <w:tcW w:w="1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771AFF" w14:textId="77777777" w:rsidR="00C074B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0.1271</w:t>
            </w:r>
          </w:p>
        </w:tc>
      </w:tr>
      <w:tr w:rsidR="00C074B4" w14:paraId="54EAA419" w14:textId="77777777">
        <w:tc>
          <w:tcPr>
            <w:tcW w:w="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93AD15" w14:textId="77777777" w:rsidR="00C074B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18</w:t>
            </w:r>
          </w:p>
        </w:tc>
        <w:tc>
          <w:tcPr>
            <w:tcW w:w="1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63D1E0" w14:textId="77777777" w:rsidR="00C074B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main effect</w:t>
            </w:r>
          </w:p>
        </w:tc>
        <w:tc>
          <w:tcPr>
            <w:tcW w:w="50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7750A6" w14:textId="77777777" w:rsidR="00C074B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Chromosome_1193030_T_C</w:t>
            </w:r>
          </w:p>
        </w:tc>
        <w:tc>
          <w:tcPr>
            <w:tcW w:w="1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5DB4B6" w14:textId="77777777" w:rsidR="00C074B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0.1177</w:t>
            </w:r>
          </w:p>
        </w:tc>
      </w:tr>
      <w:tr w:rsidR="00C074B4" w14:paraId="6C4429AF" w14:textId="77777777">
        <w:tc>
          <w:tcPr>
            <w:tcW w:w="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A64832" w14:textId="77777777" w:rsidR="00C074B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19</w:t>
            </w:r>
          </w:p>
        </w:tc>
        <w:tc>
          <w:tcPr>
            <w:tcW w:w="1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2C7C55" w14:textId="77777777" w:rsidR="00C074B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main effect</w:t>
            </w:r>
          </w:p>
        </w:tc>
        <w:tc>
          <w:tcPr>
            <w:tcW w:w="50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AA9E5E" w14:textId="77777777" w:rsidR="00C074B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Chromosome_2306621_A_G</w:t>
            </w:r>
          </w:p>
        </w:tc>
        <w:tc>
          <w:tcPr>
            <w:tcW w:w="1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8A8604" w14:textId="77777777" w:rsidR="00C074B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0.1123</w:t>
            </w:r>
          </w:p>
        </w:tc>
      </w:tr>
      <w:tr w:rsidR="00C074B4" w14:paraId="0031C15F" w14:textId="77777777">
        <w:tc>
          <w:tcPr>
            <w:tcW w:w="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FFFD70" w14:textId="77777777" w:rsidR="00C074B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20</w:t>
            </w:r>
          </w:p>
        </w:tc>
        <w:tc>
          <w:tcPr>
            <w:tcW w:w="1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AA63AA" w14:textId="77777777" w:rsidR="00C074B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main effect</w:t>
            </w:r>
          </w:p>
        </w:tc>
        <w:tc>
          <w:tcPr>
            <w:tcW w:w="50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BE5085" w14:textId="77777777" w:rsidR="00C074B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Chromosome_335722_G_A</w:t>
            </w:r>
          </w:p>
        </w:tc>
        <w:tc>
          <w:tcPr>
            <w:tcW w:w="1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23B70A" w14:textId="77777777" w:rsidR="00C074B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0.1121</w:t>
            </w:r>
          </w:p>
        </w:tc>
      </w:tr>
    </w:tbl>
    <w:p w14:paraId="0FD3F89C" w14:textId="77777777" w:rsidR="008D6E8A" w:rsidRDefault="008D6E8A">
      <w:pPr>
        <w:spacing w:after="200"/>
        <w:rPr>
          <w:rFonts w:ascii="Times New Roman" w:hAnsi="Times New Roman" w:cs="Times New Roman"/>
        </w:rPr>
      </w:pPr>
    </w:p>
    <w:p w14:paraId="4E9E8738" w14:textId="77777777" w:rsidR="003029F3" w:rsidRDefault="003029F3">
      <w:pPr>
        <w:spacing w:after="200"/>
        <w:rPr>
          <w:rFonts w:ascii="Times New Roman" w:hAnsi="Times New Roman" w:cs="Times New Roman"/>
        </w:rPr>
      </w:pPr>
    </w:p>
    <w:p w14:paraId="51F53AC2" w14:textId="77777777" w:rsidR="008D6E8A" w:rsidRDefault="00000000">
      <w:pPr>
        <w:pStyle w:val="Heading2"/>
      </w:pPr>
      <w:r>
        <w:rPr>
          <w:rFonts w:ascii="Times New Roman" w:hAnsi="Times New Roman" w:cs="Times New Roman"/>
        </w:rPr>
        <w:t>5.4 Gene annotation and top-100 distribution</w:t>
      </w:r>
    </w:p>
    <w:p w14:paraId="47DC14A0" w14:textId="77777777" w:rsidR="008D6E8A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Every EBM term was annotated using the identical shared TB-Profiler-primary/GFF-fallback pipeline used in Steps 2 and 5 (variant_metadata_with_genes.csv) - not a separate implementation.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8D6E8A" w14:paraId="6F4717FE" w14:textId="77777777">
        <w:trPr>
          <w:tblHeader/>
        </w:trPr>
        <w:tc>
          <w:tcPr>
            <w:tcW w:w="2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101C9C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Gene</w:t>
            </w:r>
          </w:p>
        </w:tc>
        <w:tc>
          <w:tcPr>
            <w:tcW w:w="2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266862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Count in top 100</w:t>
            </w:r>
          </w:p>
        </w:tc>
        <w:tc>
          <w:tcPr>
            <w:tcW w:w="416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7F5E07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Category</w:t>
            </w:r>
          </w:p>
        </w:tc>
      </w:tr>
      <w:tr w:rsidR="008D6E8A" w14:paraId="6E39A8CA" w14:textId="77777777">
        <w:tc>
          <w:tcPr>
            <w:tcW w:w="2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70693B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intergenic</w:t>
            </w:r>
          </w:p>
        </w:tc>
        <w:tc>
          <w:tcPr>
            <w:tcW w:w="2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81BCF3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10</w:t>
            </w:r>
          </w:p>
        </w:tc>
        <w:tc>
          <w:tcPr>
            <w:tcW w:w="416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3A78D0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Not in any gene</w:t>
            </w:r>
          </w:p>
        </w:tc>
      </w:tr>
      <w:tr w:rsidR="008D6E8A" w14:paraId="201EF4A9" w14:textId="77777777">
        <w:tc>
          <w:tcPr>
            <w:tcW w:w="2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0D366F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Rv0278c</w:t>
            </w:r>
          </w:p>
        </w:tc>
        <w:tc>
          <w:tcPr>
            <w:tcW w:w="2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EE0D46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416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80252D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Other gene (GFF-resolved)</w:t>
            </w:r>
          </w:p>
        </w:tc>
      </w:tr>
      <w:tr w:rsidR="008D6E8A" w14:paraId="7C369BC7" w14:textId="77777777">
        <w:tc>
          <w:tcPr>
            <w:tcW w:w="2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9CAB8B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gyrA</w:t>
            </w:r>
          </w:p>
        </w:tc>
        <w:tc>
          <w:tcPr>
            <w:tcW w:w="2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6DDD85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4</w:t>
            </w:r>
          </w:p>
        </w:tc>
        <w:tc>
          <w:tcPr>
            <w:tcW w:w="416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D811FC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Primary DR gene</w:t>
            </w:r>
          </w:p>
        </w:tc>
      </w:tr>
      <w:tr w:rsidR="008D6E8A" w14:paraId="15EDCA2C" w14:textId="77777777">
        <w:tc>
          <w:tcPr>
            <w:tcW w:w="2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031A14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rpoB</w:t>
            </w:r>
          </w:p>
        </w:tc>
        <w:tc>
          <w:tcPr>
            <w:tcW w:w="2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0C4F26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3</w:t>
            </w:r>
          </w:p>
        </w:tc>
        <w:tc>
          <w:tcPr>
            <w:tcW w:w="416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455580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Primary DR gene</w:t>
            </w:r>
          </w:p>
        </w:tc>
      </w:tr>
      <w:tr w:rsidR="008D6E8A" w14:paraId="37E4D2A8" w14:textId="77777777">
        <w:tc>
          <w:tcPr>
            <w:tcW w:w="2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71B614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inhA</w:t>
            </w:r>
          </w:p>
        </w:tc>
        <w:tc>
          <w:tcPr>
            <w:tcW w:w="2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6301AB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3</w:t>
            </w:r>
          </w:p>
        </w:tc>
        <w:tc>
          <w:tcPr>
            <w:tcW w:w="416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43E63F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Primary DR gene</w:t>
            </w:r>
          </w:p>
        </w:tc>
      </w:tr>
      <w:tr w:rsidR="008D6E8A" w14:paraId="20B7EFAA" w14:textId="77777777">
        <w:tc>
          <w:tcPr>
            <w:tcW w:w="2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7253B7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pks12</w:t>
            </w:r>
          </w:p>
        </w:tc>
        <w:tc>
          <w:tcPr>
            <w:tcW w:w="2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0287C6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3</w:t>
            </w:r>
          </w:p>
        </w:tc>
        <w:tc>
          <w:tcPr>
            <w:tcW w:w="416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1F66D0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Other gene (GFF-resolved)</w:t>
            </w:r>
          </w:p>
        </w:tc>
      </w:tr>
      <w:tr w:rsidR="008D6E8A" w14:paraId="55194BDA" w14:textId="77777777">
        <w:tc>
          <w:tcPr>
            <w:tcW w:w="2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7205C7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>PE_PGRS53</w:t>
            </w:r>
          </w:p>
        </w:tc>
        <w:tc>
          <w:tcPr>
            <w:tcW w:w="2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5485E5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3</w:t>
            </w:r>
          </w:p>
        </w:tc>
        <w:tc>
          <w:tcPr>
            <w:tcW w:w="416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A1A3E4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PE_PGRS family (repetitive)</w:t>
            </w:r>
          </w:p>
        </w:tc>
      </w:tr>
      <w:tr w:rsidR="008D6E8A" w14:paraId="2ED1DA36" w14:textId="77777777">
        <w:tc>
          <w:tcPr>
            <w:tcW w:w="2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7FC4EF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embB</w:t>
            </w:r>
          </w:p>
        </w:tc>
        <w:tc>
          <w:tcPr>
            <w:tcW w:w="2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B2DD64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2</w:t>
            </w:r>
          </w:p>
        </w:tc>
        <w:tc>
          <w:tcPr>
            <w:tcW w:w="416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E413A1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Primary DR gene</w:t>
            </w:r>
          </w:p>
        </w:tc>
      </w:tr>
      <w:tr w:rsidR="008D6E8A" w14:paraId="0A26243A" w14:textId="77777777">
        <w:tc>
          <w:tcPr>
            <w:tcW w:w="2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AD1179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PE_PGRS10</w:t>
            </w:r>
          </w:p>
        </w:tc>
        <w:tc>
          <w:tcPr>
            <w:tcW w:w="2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843036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2</w:t>
            </w:r>
          </w:p>
        </w:tc>
        <w:tc>
          <w:tcPr>
            <w:tcW w:w="416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3A7EFB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PE_PGRS family (repetitive)</w:t>
            </w:r>
          </w:p>
        </w:tc>
      </w:tr>
      <w:tr w:rsidR="008D6E8A" w14:paraId="6DE8D333" w14:textId="77777777">
        <w:tc>
          <w:tcPr>
            <w:tcW w:w="2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486BA8" w14:textId="77777777" w:rsidR="008D6E8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  <w:szCs w:val="19"/>
              </w:rPr>
              <w:t>rpsL</w:t>
            </w:r>
            <w:proofErr w:type="spellEnd"/>
          </w:p>
        </w:tc>
        <w:tc>
          <w:tcPr>
            <w:tcW w:w="2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56FAC7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2</w:t>
            </w:r>
          </w:p>
        </w:tc>
        <w:tc>
          <w:tcPr>
            <w:tcW w:w="416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DF69C1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Primary DR gene</w:t>
            </w:r>
          </w:p>
        </w:tc>
      </w:tr>
      <w:tr w:rsidR="008D6E8A" w14:paraId="03A005D3" w14:textId="77777777">
        <w:tc>
          <w:tcPr>
            <w:tcW w:w="2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FB2D50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fadD2</w:t>
            </w:r>
          </w:p>
        </w:tc>
        <w:tc>
          <w:tcPr>
            <w:tcW w:w="2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60B30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2</w:t>
            </w:r>
          </w:p>
        </w:tc>
        <w:tc>
          <w:tcPr>
            <w:tcW w:w="416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E801F5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Other gene (GFF-resolved)</w:t>
            </w:r>
          </w:p>
        </w:tc>
      </w:tr>
    </w:tbl>
    <w:p w14:paraId="2D0C1FD5" w14:textId="77777777" w:rsidR="008D6E8A" w:rsidRDefault="008D6E8A">
      <w:pPr>
        <w:spacing w:after="200"/>
        <w:rPr>
          <w:rFonts w:ascii="Times New Roman" w:hAnsi="Times New Roman" w:cs="Times New Roman"/>
        </w:rPr>
      </w:pPr>
    </w:p>
    <w:p w14:paraId="452E005A" w14:textId="77777777" w:rsidR="008D6E8A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Compensatory-gene terms in EBM's top 100: 0 - a genuine finding, not a gap (Section 6.3 reconciles this against SHAP's 2). Primary-DR-gene terms: 18, spanning katG, rpoB, gyrA, </w:t>
      </w:r>
      <w:proofErr w:type="spellStart"/>
      <w:r>
        <w:rPr>
          <w:rFonts w:ascii="Times New Roman" w:hAnsi="Times New Roman" w:cs="Times New Roman"/>
        </w:rPr>
        <w:t>inhA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embB</w:t>
      </w:r>
      <w:proofErr w:type="spellEnd"/>
      <w:r>
        <w:rPr>
          <w:rFonts w:ascii="Times New Roman" w:hAnsi="Times New Roman" w:cs="Times New Roman"/>
        </w:rPr>
        <w:t xml:space="preserve">, and </w:t>
      </w:r>
      <w:proofErr w:type="spellStart"/>
      <w:r>
        <w:rPr>
          <w:rFonts w:ascii="Times New Roman" w:hAnsi="Times New Roman" w:cs="Times New Roman"/>
        </w:rPr>
        <w:t>rpsL</w:t>
      </w:r>
      <w:proofErr w:type="spellEnd"/>
      <w:r>
        <w:rPr>
          <w:rFonts w:ascii="Times New Roman" w:hAnsi="Times New Roman" w:cs="Times New Roman"/>
        </w:rPr>
        <w:t>.</w:t>
      </w:r>
    </w:p>
    <w:p w14:paraId="10D04B99" w14:textId="77777777" w:rsidR="000904FB" w:rsidRDefault="000904FB">
      <w:pPr>
        <w:spacing w:after="160"/>
        <w:rPr>
          <w:rFonts w:ascii="Times New Roman" w:hAnsi="Times New Roman" w:cs="Times New Roman"/>
        </w:rPr>
      </w:pPr>
    </w:p>
    <w:p w14:paraId="21F0EA53" w14:textId="77777777" w:rsidR="008D6E8A" w:rsidRDefault="00000000">
      <w:pPr>
        <w:pStyle w:val="Heading2"/>
      </w:pPr>
      <w:r>
        <w:rPr>
          <w:rFonts w:ascii="Times New Roman" w:hAnsi="Times New Roman" w:cs="Times New Roman"/>
        </w:rPr>
        <w:t>5.5 All 7 interaction terms, corrected gene identities</w:t>
      </w:r>
    </w:p>
    <w:p w14:paraId="325A3F68" w14:textId="77777777" w:rsidR="008D6E8A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None of these 7 interactions match the pairs discussed in earlier drafts of this project's reports - EBM's interaction search turned out to be sensitive to the training environment (a numpy/scipy build difference between machines), and this report documents the currently-adopted canonical model's actual interactions fresh, rather than as corrections to a previous version.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1500"/>
        <w:gridCol w:w="1500"/>
        <w:gridCol w:w="1300"/>
        <w:gridCol w:w="900"/>
        <w:gridCol w:w="1300"/>
        <w:gridCol w:w="1760"/>
      </w:tblGrid>
      <w:tr w:rsidR="008D6E8A" w14:paraId="794CF100" w14:textId="77777777">
        <w:trPr>
          <w:tblHeader/>
        </w:trPr>
        <w:tc>
          <w:tcPr>
            <w:tcW w:w="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3F36AC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Rank</w:t>
            </w:r>
          </w:p>
        </w:tc>
        <w:tc>
          <w:tcPr>
            <w:tcW w:w="15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213FAC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Gene A</w:t>
            </w:r>
          </w:p>
        </w:tc>
        <w:tc>
          <w:tcPr>
            <w:tcW w:w="15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94857F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Gene B</w:t>
            </w:r>
          </w:p>
        </w:tc>
        <w:tc>
          <w:tcPr>
            <w:tcW w:w="13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D23514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Importance</w:t>
            </w:r>
          </w:p>
        </w:tc>
        <w:tc>
          <w:tcPr>
            <w:tcW w:w="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4AEEDE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Comp.</w:t>
            </w:r>
          </w:p>
        </w:tc>
        <w:tc>
          <w:tcPr>
            <w:tcW w:w="13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BABA1B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Primary-DR</w:t>
            </w:r>
          </w:p>
        </w:tc>
        <w:tc>
          <w:tcPr>
            <w:tcW w:w="176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82503C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Previously documented?</w:t>
            </w:r>
          </w:p>
        </w:tc>
      </w:tr>
      <w:tr w:rsidR="008D6E8A" w14:paraId="43423F06" w14:textId="77777777">
        <w:tc>
          <w:tcPr>
            <w:tcW w:w="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C679B9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15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387743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PPE19</w:t>
            </w:r>
          </w:p>
        </w:tc>
        <w:tc>
          <w:tcPr>
            <w:tcW w:w="15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4422FF" w14:textId="77777777" w:rsidR="008D6E8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  <w:szCs w:val="19"/>
              </w:rPr>
              <w:t>aspB</w:t>
            </w:r>
            <w:proofErr w:type="spellEnd"/>
          </w:p>
        </w:tc>
        <w:tc>
          <w:tcPr>
            <w:tcW w:w="13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FF92C9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0.0446</w:t>
            </w:r>
          </w:p>
        </w:tc>
        <w:tc>
          <w:tcPr>
            <w:tcW w:w="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AF167D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13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FEA1B5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176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8E96F6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No - new in this report</w:t>
            </w:r>
          </w:p>
        </w:tc>
      </w:tr>
      <w:tr w:rsidR="008D6E8A" w14:paraId="79898A45" w14:textId="77777777">
        <w:tc>
          <w:tcPr>
            <w:tcW w:w="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7892FC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2</w:t>
            </w:r>
          </w:p>
        </w:tc>
        <w:tc>
          <w:tcPr>
            <w:tcW w:w="15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ABA42A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PPE6</w:t>
            </w:r>
          </w:p>
        </w:tc>
        <w:tc>
          <w:tcPr>
            <w:tcW w:w="15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C5B832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intergenic</w:t>
            </w:r>
          </w:p>
        </w:tc>
        <w:tc>
          <w:tcPr>
            <w:tcW w:w="13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38474E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0.0388</w:t>
            </w:r>
          </w:p>
        </w:tc>
        <w:tc>
          <w:tcPr>
            <w:tcW w:w="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145FD0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13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AC9EA7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176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4F62AE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No - new in this report</w:t>
            </w:r>
          </w:p>
        </w:tc>
      </w:tr>
      <w:tr w:rsidR="008D6E8A" w14:paraId="00B00511" w14:textId="77777777">
        <w:tc>
          <w:tcPr>
            <w:tcW w:w="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8A69D6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3</w:t>
            </w:r>
          </w:p>
        </w:tc>
        <w:tc>
          <w:tcPr>
            <w:tcW w:w="15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0AF874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PE_PGRS10</w:t>
            </w:r>
          </w:p>
        </w:tc>
        <w:tc>
          <w:tcPr>
            <w:tcW w:w="15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EA5F72" w14:textId="77777777" w:rsidR="008D6E8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  <w:szCs w:val="19"/>
              </w:rPr>
              <w:t>aspB</w:t>
            </w:r>
            <w:proofErr w:type="spellEnd"/>
          </w:p>
        </w:tc>
        <w:tc>
          <w:tcPr>
            <w:tcW w:w="13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5C6211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0.0330</w:t>
            </w:r>
          </w:p>
        </w:tc>
        <w:tc>
          <w:tcPr>
            <w:tcW w:w="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2B1539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13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D9E688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176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6D9313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No - new in this report</w:t>
            </w:r>
          </w:p>
        </w:tc>
      </w:tr>
      <w:tr w:rsidR="008D6E8A" w14:paraId="13ECF4EA" w14:textId="77777777">
        <w:tc>
          <w:tcPr>
            <w:tcW w:w="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BF0EDA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4</w:t>
            </w:r>
          </w:p>
        </w:tc>
        <w:tc>
          <w:tcPr>
            <w:tcW w:w="15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A9AB71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intergenic</w:t>
            </w:r>
          </w:p>
        </w:tc>
        <w:tc>
          <w:tcPr>
            <w:tcW w:w="15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230928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PE_PGRS50</w:t>
            </w:r>
          </w:p>
        </w:tc>
        <w:tc>
          <w:tcPr>
            <w:tcW w:w="13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232E27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0.0316</w:t>
            </w:r>
          </w:p>
        </w:tc>
        <w:tc>
          <w:tcPr>
            <w:tcW w:w="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AE7A37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13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9366FA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176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E233E0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No - new in this report</w:t>
            </w:r>
          </w:p>
        </w:tc>
      </w:tr>
      <w:tr w:rsidR="008D6E8A" w14:paraId="2D9CD1BD" w14:textId="77777777">
        <w:tc>
          <w:tcPr>
            <w:tcW w:w="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7C7500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15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A1391F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intergenic</w:t>
            </w:r>
          </w:p>
        </w:tc>
        <w:tc>
          <w:tcPr>
            <w:tcW w:w="15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1935FA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PE_PGRS50</w:t>
            </w:r>
          </w:p>
        </w:tc>
        <w:tc>
          <w:tcPr>
            <w:tcW w:w="13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3877E3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0.0257</w:t>
            </w:r>
          </w:p>
        </w:tc>
        <w:tc>
          <w:tcPr>
            <w:tcW w:w="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5BFE8F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13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41652E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176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D35627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No - new in this report</w:t>
            </w:r>
          </w:p>
        </w:tc>
      </w:tr>
      <w:tr w:rsidR="008D6E8A" w14:paraId="0CBD0245" w14:textId="77777777">
        <w:tc>
          <w:tcPr>
            <w:tcW w:w="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2702A5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6</w:t>
            </w:r>
          </w:p>
        </w:tc>
        <w:tc>
          <w:tcPr>
            <w:tcW w:w="15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9D5C9E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PE_PGRS50</w:t>
            </w:r>
          </w:p>
        </w:tc>
        <w:tc>
          <w:tcPr>
            <w:tcW w:w="15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F6E9CD" w14:textId="77777777" w:rsidR="008D6E8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  <w:szCs w:val="19"/>
              </w:rPr>
              <w:t>aspB</w:t>
            </w:r>
            <w:proofErr w:type="spellEnd"/>
          </w:p>
        </w:tc>
        <w:tc>
          <w:tcPr>
            <w:tcW w:w="13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740D21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0.0250</w:t>
            </w:r>
          </w:p>
        </w:tc>
        <w:tc>
          <w:tcPr>
            <w:tcW w:w="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28728C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13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BF2A3E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176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C46E01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No - new in this report</w:t>
            </w:r>
          </w:p>
        </w:tc>
      </w:tr>
      <w:tr w:rsidR="008D6E8A" w14:paraId="056475F9" w14:textId="77777777">
        <w:tc>
          <w:tcPr>
            <w:tcW w:w="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0CC5BE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7</w:t>
            </w:r>
          </w:p>
        </w:tc>
        <w:tc>
          <w:tcPr>
            <w:tcW w:w="15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0AD819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aspB</w:t>
            </w:r>
          </w:p>
        </w:tc>
        <w:tc>
          <w:tcPr>
            <w:tcW w:w="15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111B43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embA</w:t>
            </w:r>
          </w:p>
        </w:tc>
        <w:tc>
          <w:tcPr>
            <w:tcW w:w="13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4FAD8E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0.0118</w:t>
            </w:r>
          </w:p>
        </w:tc>
        <w:tc>
          <w:tcPr>
            <w:tcW w:w="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C22716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13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622C44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Yes</w:t>
            </w:r>
          </w:p>
        </w:tc>
        <w:tc>
          <w:tcPr>
            <w:tcW w:w="176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490C29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No - new in this report</w:t>
            </w:r>
          </w:p>
        </w:tc>
      </w:tr>
    </w:tbl>
    <w:p w14:paraId="7A0E90FE" w14:textId="77777777" w:rsidR="008D6E8A" w:rsidRDefault="008D6E8A">
      <w:pPr>
        <w:spacing w:after="200"/>
        <w:rPr>
          <w:rFonts w:ascii="Times New Roman" w:hAnsi="Times New Roman" w:cs="Times New Roman"/>
        </w:rPr>
      </w:pPr>
    </w:p>
    <w:p w14:paraId="1BDD61AD" w14:textId="77777777" w:rsidR="008D6E8A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Interpretation: </w:t>
      </w:r>
      <w:r>
        <w:rPr>
          <w:rFonts w:ascii="Times New Roman" w:hAnsi="Times New Roman" w:cs="Times New Roman"/>
        </w:rPr>
        <w:t>The rank-1 interaction (PPE19 x aspB) has the highest importance among the 7, but all 7 rank well outside the top 200 of the full 5,007-term model - a much weaker signal overall than the main effects. Its 2x2 contribution grid shows a pattern that is not simply additive: PPE19 present with aspB absent contributes toward MDR (+0.107 log-odds); aspB present alone contributes weakly toward MDR (+0.042); but both present together swings sharply toward non-MDR (-0.561) rather than reinforcing each other. This kind of non-monotonic pattern is exactly what a pairwise interaction term is built to capture and a pair of independent main effects cannot - but it is also a small, specific effect, not one of the model's dominant drivers.</w:t>
      </w:r>
    </w:p>
    <w:p w14:paraId="16F8F800" w14:textId="77777777" w:rsidR="008D6E8A" w:rsidRDefault="00000000">
      <w:pPr>
        <w:pStyle w:val="Heading2"/>
      </w:pPr>
      <w:r>
        <w:rPr>
          <w:rFonts w:ascii="Times New Roman" w:hAnsi="Times New Roman" w:cs="Times New Roman"/>
        </w:rPr>
        <w:t>5.6 Local (sample-level) explanation and additivity verification</w:t>
      </w:r>
    </w:p>
    <w:p w14:paraId="684EDCC8" w14:textId="77777777" w:rsidR="008D6E8A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EBM's exact additivity property was verified directly against real predictions, not just asserted: for both a confirmed-MDR and a confirmed-non-MDR isolate, intercept + sum of all 5,007 term scores was computed independently and passed through a sigmoid, then compared against the model's own </w:t>
      </w:r>
      <w:proofErr w:type="spellStart"/>
      <w:r>
        <w:rPr>
          <w:rFonts w:ascii="Times New Roman" w:hAnsi="Times New Roman" w:cs="Times New Roman"/>
        </w:rPr>
        <w:t>predict_</w:t>
      </w:r>
      <w:proofErr w:type="gramStart"/>
      <w:r>
        <w:rPr>
          <w:rFonts w:ascii="Times New Roman" w:hAnsi="Times New Roman" w:cs="Times New Roman"/>
        </w:rPr>
        <w:t>proba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 output.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3400"/>
        <w:gridCol w:w="2200"/>
        <w:gridCol w:w="1000"/>
      </w:tblGrid>
      <w:tr w:rsidR="008D6E8A" w14:paraId="66EE4C56" w14:textId="77777777">
        <w:trPr>
          <w:tblHeader/>
        </w:trPr>
        <w:tc>
          <w:tcPr>
            <w:tcW w:w="2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78DB1E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Sample</w:t>
            </w:r>
          </w:p>
        </w:tc>
        <w:tc>
          <w:tcPr>
            <w:tcW w:w="3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AEE69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Manual (intercept + sum of terms)</w:t>
            </w:r>
          </w:p>
        </w:tc>
        <w:tc>
          <w:tcPr>
            <w:tcW w:w="22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18E3D2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 xml:space="preserve">Model's own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predict_proba</w:t>
            </w:r>
            <w:proofErr w:type="spellEnd"/>
          </w:p>
        </w:tc>
        <w:tc>
          <w:tcPr>
            <w:tcW w:w="10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E8D98A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Match</w:t>
            </w:r>
          </w:p>
        </w:tc>
      </w:tr>
      <w:tr w:rsidR="008D6E8A" w14:paraId="55DEDE4C" w14:textId="77777777">
        <w:tc>
          <w:tcPr>
            <w:tcW w:w="2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F36AD6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MDR - SRR30519414</w:t>
            </w:r>
          </w:p>
        </w:tc>
        <w:tc>
          <w:tcPr>
            <w:tcW w:w="3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568DA7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1.258643 -&gt; sigmoid = 0.778792</w:t>
            </w:r>
          </w:p>
        </w:tc>
        <w:tc>
          <w:tcPr>
            <w:tcW w:w="22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850774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0.778792</w:t>
            </w:r>
          </w:p>
        </w:tc>
        <w:tc>
          <w:tcPr>
            <w:tcW w:w="10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7BA111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Exact</w:t>
            </w:r>
          </w:p>
        </w:tc>
      </w:tr>
      <w:tr w:rsidR="008D6E8A" w14:paraId="7DDADEE1" w14:textId="77777777">
        <w:tc>
          <w:tcPr>
            <w:tcW w:w="2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02E146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non-MDR - SRR11922476</w:t>
            </w:r>
          </w:p>
        </w:tc>
        <w:tc>
          <w:tcPr>
            <w:tcW w:w="3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892834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-6.911967 -&gt; sigmoid = 0.000995</w:t>
            </w:r>
          </w:p>
        </w:tc>
        <w:tc>
          <w:tcPr>
            <w:tcW w:w="22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D80A56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0.000995</w:t>
            </w:r>
          </w:p>
        </w:tc>
        <w:tc>
          <w:tcPr>
            <w:tcW w:w="10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116EF6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Exact</w:t>
            </w:r>
          </w:p>
        </w:tc>
      </w:tr>
    </w:tbl>
    <w:p w14:paraId="50A56655" w14:textId="77777777" w:rsidR="008D6E8A" w:rsidRDefault="008D6E8A">
      <w:pPr>
        <w:spacing w:after="200"/>
        <w:rPr>
          <w:rFonts w:ascii="Times New Roman" w:hAnsi="Times New Roman" w:cs="Times New Roman"/>
        </w:rPr>
      </w:pPr>
    </w:p>
    <w:p w14:paraId="7453A9CF" w14:textId="77777777" w:rsidR="00DC1BD7" w:rsidRPr="008E15F4" w:rsidRDefault="00000000">
      <w:pPr>
        <w:spacing w:after="16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This is not a cosmetic check - it is empirical proof that EBM's explanation is genuinely exact for real data, in contrast to SHAP's necessarily approximate explanation of the black-box </w:t>
      </w:r>
      <w:proofErr w:type="spellStart"/>
      <w:r>
        <w:rPr>
          <w:rFonts w:ascii="Times New Roman" w:hAnsi="Times New Roman" w:cs="Times New Roman"/>
          <w:i/>
          <w:iCs/>
        </w:rPr>
        <w:t>XGBoost</w:t>
      </w:r>
      <w:proofErr w:type="spellEnd"/>
      <w:r>
        <w:rPr>
          <w:rFonts w:ascii="Times New Roman" w:hAnsi="Times New Roman" w:cs="Times New Roman"/>
          <w:i/>
          <w:iCs/>
        </w:rPr>
        <w:t xml:space="preserve"> model in Step 5.</w:t>
      </w:r>
    </w:p>
    <w:p w14:paraId="48A66FB9" w14:textId="77777777" w:rsidR="008D6E8A" w:rsidRDefault="00000000">
      <w:pPr>
        <w:pStyle w:val="Heading2"/>
      </w:pPr>
      <w:r>
        <w:rPr>
          <w:rFonts w:ascii="Times New Roman" w:hAnsi="Times New Roman" w:cs="Times New Roman"/>
        </w:rPr>
        <w:t>5.7 Cross-check against Step 5 SHAP</w:t>
      </w:r>
    </w:p>
    <w:p w14:paraId="3418DA0F" w14:textId="77777777" w:rsidR="008D6E8A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 EBM's 100 top-ranked terms, 93 are main effects (comparable to SHAP's variant-level ranking; the remaining 7 are interaction terms with no single-variant SHAP equivalent). 24 of those 93 also appear in SHAP's top 100 - meaningful overlap (a shared core signal: katG, rpoB, gyrA, and several other primary-DR genes) without the two methods being redundant.</w:t>
      </w:r>
    </w:p>
    <w:p w14:paraId="387240B9" w14:textId="77777777" w:rsidR="008D6E8A" w:rsidRDefault="00000000">
      <w:pPr>
        <w:pStyle w:val="Heading1"/>
      </w:pPr>
      <w:r>
        <w:rPr>
          <w:rFonts w:ascii="Times New Roman" w:hAnsi="Times New Roman" w:cs="Times New Roman"/>
        </w:rPr>
        <w:t>6. Cross-Model Synthesis</w:t>
      </w:r>
    </w:p>
    <w:p w14:paraId="1229D9CB" w14:textId="77777777" w:rsidR="008D6E8A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section is the analytical core of Step 7: it does not restate Steps 4-6's results again, but combines them to answer questions no single step can answer alone.</w:t>
      </w:r>
    </w:p>
    <w:p w14:paraId="6A94F964" w14:textId="77777777" w:rsidR="008D6E8A" w:rsidRDefault="00000000">
      <w:pPr>
        <w:pStyle w:val="Heading2"/>
      </w:pPr>
      <w:r>
        <w:rPr>
          <w:rFonts w:ascii="Times New Roman" w:hAnsi="Times New Roman" w:cs="Times New Roman"/>
        </w:rPr>
        <w:t>6.1 Performance ranking, confirmed across every angle taken</w:t>
      </w:r>
    </w:p>
    <w:p w14:paraId="70305774" w14:textId="77777777" w:rsidR="008D6E8A" w:rsidRDefault="00000000">
      <w:pPr>
        <w:spacing w:after="1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XGBoost</w:t>
      </w:r>
      <w:proofErr w:type="spellEnd"/>
      <w:r>
        <w:rPr>
          <w:rFonts w:ascii="Times New Roman" w:hAnsi="Times New Roman" w:cs="Times New Roman"/>
        </w:rPr>
        <w:t xml:space="preserve"> (AUC 0.9935) is the best-performing model by cross-validated AUC and by in-sample accuracy. EBM (0.9867) is very close behind - the gap between them is small on the corrected data, closer than earlier reporting suggested. This is broadly consistent with the expected trade-off in the explainable-ML literature (EBM sacrifices some predictive performance for exact, not approximated, interpretability), though here the sacrifice is modest rather than large.</w:t>
      </w:r>
    </w:p>
    <w:p w14:paraId="0997ED16" w14:textId="77777777" w:rsidR="008D6E8A" w:rsidRDefault="00000000">
      <w:pPr>
        <w:pStyle w:val="Heading2"/>
      </w:pPr>
      <w:r>
        <w:rPr>
          <w:rFonts w:ascii="Times New Roman" w:hAnsi="Times New Roman" w:cs="Times New Roman"/>
        </w:rPr>
        <w:t>6.2 Consensus features - the most defensible findings</w:t>
      </w:r>
    </w:p>
    <w:p w14:paraId="246F26DB" w14:textId="77777777" w:rsidR="008D6E8A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Five features are corroborated by all three explanation sources considered together (SHAP top-100, Random Forest's own top-30, and EBM's own top-30 main effects) - reproduced here from Step 5 as the single strongest evidentiary set this project has produced:</w:t>
      </w:r>
    </w:p>
    <w:p w14:paraId="3893261F" w14:textId="77777777" w:rsidR="007B1725" w:rsidRDefault="007B1725">
      <w:pPr>
        <w:spacing w:after="160"/>
        <w:rPr>
          <w:rFonts w:ascii="Times New Roman" w:hAnsi="Times New Roman" w:cs="Times New Roman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1"/>
        <w:gridCol w:w="2469"/>
        <w:gridCol w:w="1578"/>
        <w:gridCol w:w="1189"/>
        <w:gridCol w:w="1186"/>
        <w:gridCol w:w="1187"/>
      </w:tblGrid>
      <w:tr w:rsidR="008D6E8A" w14:paraId="5F5BE87C" w14:textId="77777777">
        <w:trPr>
          <w:tblHeader/>
        </w:trPr>
        <w:tc>
          <w:tcPr>
            <w:tcW w:w="1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326C6F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Consensus rank</w:t>
            </w:r>
          </w:p>
        </w:tc>
        <w:tc>
          <w:tcPr>
            <w:tcW w:w="2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76C61A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Variant</w:t>
            </w:r>
          </w:p>
        </w:tc>
        <w:tc>
          <w:tcPr>
            <w:tcW w:w="1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9A9CE1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Gene</w:t>
            </w:r>
          </w:p>
        </w:tc>
        <w:tc>
          <w:tcPr>
            <w:tcW w:w="12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811784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SHAP rank</w:t>
            </w:r>
          </w:p>
        </w:tc>
        <w:tc>
          <w:tcPr>
            <w:tcW w:w="12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6FEA23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RF rank</w:t>
            </w:r>
          </w:p>
        </w:tc>
        <w:tc>
          <w:tcPr>
            <w:tcW w:w="12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76099F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EBM rank</w:t>
            </w:r>
          </w:p>
        </w:tc>
      </w:tr>
      <w:tr w:rsidR="008D6E8A" w14:paraId="5FA72383" w14:textId="77777777">
        <w:tc>
          <w:tcPr>
            <w:tcW w:w="1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F2C113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E5E28C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Chromosome_2155168_C_G</w:t>
            </w:r>
          </w:p>
        </w:tc>
        <w:tc>
          <w:tcPr>
            <w:tcW w:w="1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30FD3B" w14:textId="77777777" w:rsidR="008D6E8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  <w:szCs w:val="19"/>
              </w:rPr>
              <w:t>katG</w:t>
            </w:r>
            <w:proofErr w:type="spellEnd"/>
          </w:p>
        </w:tc>
        <w:tc>
          <w:tcPr>
            <w:tcW w:w="12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6FC1B0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663D26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44CE31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</w:tr>
      <w:tr w:rsidR="008D6E8A" w14:paraId="61DB7168" w14:textId="77777777">
        <w:tc>
          <w:tcPr>
            <w:tcW w:w="1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0A4038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4E5FD6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Chromosome_761155_C_T</w:t>
            </w:r>
          </w:p>
        </w:tc>
        <w:tc>
          <w:tcPr>
            <w:tcW w:w="1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BF771F" w14:textId="77777777" w:rsidR="008D6E8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  <w:szCs w:val="19"/>
              </w:rPr>
              <w:t>rpoB</w:t>
            </w:r>
            <w:proofErr w:type="spellEnd"/>
          </w:p>
        </w:tc>
        <w:tc>
          <w:tcPr>
            <w:tcW w:w="12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49CD0F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2</w:t>
            </w:r>
          </w:p>
        </w:tc>
        <w:tc>
          <w:tcPr>
            <w:tcW w:w="12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4C8866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2</w:t>
            </w:r>
          </w:p>
        </w:tc>
        <w:tc>
          <w:tcPr>
            <w:tcW w:w="12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1983A1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2</w:t>
            </w:r>
          </w:p>
        </w:tc>
      </w:tr>
      <w:tr w:rsidR="008D6E8A" w14:paraId="58B6440E" w14:textId="77777777">
        <w:tc>
          <w:tcPr>
            <w:tcW w:w="1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9A8C48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047667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Chromosome_4247431_G_C</w:t>
            </w:r>
          </w:p>
        </w:tc>
        <w:tc>
          <w:tcPr>
            <w:tcW w:w="1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3F3BDE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embB</w:t>
            </w:r>
          </w:p>
        </w:tc>
        <w:tc>
          <w:tcPr>
            <w:tcW w:w="12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E85D16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12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47D9A0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3</w:t>
            </w:r>
          </w:p>
        </w:tc>
        <w:tc>
          <w:tcPr>
            <w:tcW w:w="12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74B7A6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7</w:t>
            </w:r>
          </w:p>
        </w:tc>
      </w:tr>
      <w:tr w:rsidR="008D6E8A" w14:paraId="33F86024" w14:textId="77777777">
        <w:tc>
          <w:tcPr>
            <w:tcW w:w="1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5DA460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7E82B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Chromosome_1673425_C_T</w:t>
            </w:r>
          </w:p>
        </w:tc>
        <w:tc>
          <w:tcPr>
            <w:tcW w:w="1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1285AD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inhA</w:t>
            </w:r>
          </w:p>
        </w:tc>
        <w:tc>
          <w:tcPr>
            <w:tcW w:w="12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9EFF56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3</w:t>
            </w:r>
          </w:p>
        </w:tc>
        <w:tc>
          <w:tcPr>
            <w:tcW w:w="12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B656A5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11</w:t>
            </w:r>
          </w:p>
        </w:tc>
        <w:tc>
          <w:tcPr>
            <w:tcW w:w="12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26A799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4</w:t>
            </w:r>
          </w:p>
        </w:tc>
      </w:tr>
      <w:tr w:rsidR="008D6E8A" w14:paraId="3FB01307" w14:textId="77777777">
        <w:tc>
          <w:tcPr>
            <w:tcW w:w="1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8D0A76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2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D73259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Chromosome_4247429_A_G</w:t>
            </w:r>
          </w:p>
        </w:tc>
        <w:tc>
          <w:tcPr>
            <w:tcW w:w="1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B3663C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embB</w:t>
            </w:r>
          </w:p>
        </w:tc>
        <w:tc>
          <w:tcPr>
            <w:tcW w:w="12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65E6D5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4</w:t>
            </w:r>
          </w:p>
        </w:tc>
        <w:tc>
          <w:tcPr>
            <w:tcW w:w="12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556DD2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17</w:t>
            </w:r>
          </w:p>
        </w:tc>
        <w:tc>
          <w:tcPr>
            <w:tcW w:w="12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62CF1B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</w:tr>
    </w:tbl>
    <w:p w14:paraId="71B6977C" w14:textId="77777777" w:rsidR="008D6E8A" w:rsidRDefault="008D6E8A">
      <w:pPr>
        <w:spacing w:after="200"/>
        <w:rPr>
          <w:rFonts w:ascii="Times New Roman" w:hAnsi="Times New Roman" w:cs="Times New Roman"/>
        </w:rPr>
      </w:pPr>
    </w:p>
    <w:p w14:paraId="04DE573A" w14:textId="6EBB383A" w:rsidR="008D6E8A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Five is the complete, exhaustive count of variants satisfying the triple-model-agreement criterion (present in SHAP's top 100 AND Random Forest's top 30 AND EBM's top 30 simultaneously) - no sixth variant exists that meets this bar without weakening the criterion itself. Widening the criterion (e.g. to SHAP top 100 AND at least one of RF/EBM top 30) would surface more variants, at the cost of a weaker consensus claim; the analysis was deliberately kept at the strict triple-agreement standard.</w:t>
      </w:r>
    </w:p>
    <w:p w14:paraId="60C50431" w14:textId="77777777" w:rsidR="008D6E8A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For a publication, these five variants are the features with the strongest claim to being genuinely, robustly predictive of MDR status, since three structurally different modelling approaches (tree-ensemble averaging, gradient boosting, and additive shape functions) independently surface them.</w:t>
      </w:r>
    </w:p>
    <w:p w14:paraId="013EA784" w14:textId="77777777" w:rsidR="008D6E8A" w:rsidRDefault="00000000">
      <w:pPr>
        <w:pStyle w:val="Heading2"/>
      </w:pPr>
      <w:r>
        <w:rPr>
          <w:rFonts w:ascii="Times New Roman" w:hAnsi="Times New Roman" w:cs="Times New Roman"/>
        </w:rPr>
        <w:t>6.3 The compensatory-mutation question: three answers, reconciled</w:t>
      </w:r>
    </w:p>
    <w:p w14:paraId="5BAD3304" w14:textId="77777777" w:rsidR="008D6E8A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Objective 2 explicitly asks for compensatory mutations to be prioritised. Depending on which step is consulted, this project has produced three different-looking answers - reconciling them is the single most important analytical contribution of this report.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4400"/>
        <w:gridCol w:w="2200"/>
      </w:tblGrid>
      <w:tr w:rsidR="008D6E8A" w14:paraId="39898FC4" w14:textId="77777777">
        <w:trPr>
          <w:tblHeader/>
        </w:trPr>
        <w:tc>
          <w:tcPr>
            <w:tcW w:w="2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8B05E9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4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6E7856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Question asked</w:t>
            </w:r>
          </w:p>
        </w:tc>
        <w:tc>
          <w:tcPr>
            <w:tcW w:w="22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0B5A06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Answer</w:t>
            </w:r>
          </w:p>
        </w:tc>
      </w:tr>
      <w:tr w:rsidR="008D6E8A" w14:paraId="68FE2503" w14:textId="77777777">
        <w:tc>
          <w:tcPr>
            <w:tcW w:w="2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5D2825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Step 2 (Fisher's exact test)</w:t>
            </w:r>
          </w:p>
        </w:tc>
        <w:tc>
          <w:tcPr>
            <w:tcW w:w="4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D9FA65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Are compensatory-gene variants statistically associated with MDR status on their own?</w:t>
            </w:r>
          </w:p>
        </w:tc>
        <w:tc>
          <w:tcPr>
            <w:tcW w:w="22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67BE59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Yes - significantly enriched (univariate test)</w:t>
            </w:r>
          </w:p>
        </w:tc>
      </w:tr>
      <w:tr w:rsidR="008D6E8A" w14:paraId="2D49951F" w14:textId="77777777">
        <w:tc>
          <w:tcPr>
            <w:tcW w:w="2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DEC545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Step 5 (SHAP / </w:t>
            </w:r>
            <w:proofErr w:type="spellStart"/>
            <w:r>
              <w:rPr>
                <w:rFonts w:ascii="Times New Roman" w:hAnsi="Times New Roman" w:cs="Times New Roman"/>
                <w:sz w:val="19"/>
                <w:szCs w:val="19"/>
              </w:rPr>
              <w:t>XGBoost</w:t>
            </w:r>
            <w:proofErr w:type="spellEnd"/>
            <w:r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</w:tc>
        <w:tc>
          <w:tcPr>
            <w:tcW w:w="4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42D876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Does a compensatory-gene variant add independent predictive information once the model already knows the primary-DR markers?</w:t>
            </w:r>
          </w:p>
        </w:tc>
        <w:tc>
          <w:tcPr>
            <w:tcW w:w="22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76EC07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Partially - 2 in the top 100 (embR, ranks 70 and 73 of 94,583)</w:t>
            </w:r>
          </w:p>
        </w:tc>
      </w:tr>
      <w:tr w:rsidR="008D6E8A" w14:paraId="51D26665" w14:textId="77777777">
        <w:tc>
          <w:tcPr>
            <w:tcW w:w="2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EA9229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Step 6 (EBM)</w:t>
            </w:r>
          </w:p>
        </w:tc>
        <w:tc>
          <w:tcPr>
            <w:tcW w:w="4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F62F2D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Same question, different model architecture</w:t>
            </w:r>
          </w:p>
        </w:tc>
        <w:tc>
          <w:tcPr>
            <w:tcW w:w="22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7C839F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No - 0 in the top 100</w:t>
            </w:r>
          </w:p>
        </w:tc>
      </w:tr>
    </w:tbl>
    <w:p w14:paraId="0FAEFF4B" w14:textId="77777777" w:rsidR="008D6E8A" w:rsidRDefault="008D6E8A">
      <w:pPr>
        <w:spacing w:after="200"/>
        <w:rPr>
          <w:rFonts w:ascii="Times New Roman" w:hAnsi="Times New Roman" w:cs="Times New Roman"/>
        </w:rPr>
      </w:pPr>
    </w:p>
    <w:p w14:paraId="4784A87A" w14:textId="77777777" w:rsidR="008D6E8A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Why these are not contradictory: </w:t>
      </w:r>
      <w:r>
        <w:rPr>
          <w:rFonts w:ascii="Times New Roman" w:hAnsi="Times New Roman" w:cs="Times New Roman"/>
        </w:rPr>
        <w:t>These are not contradictory once the difference between the questions is made explicit. Step 2 measures univariate association - whether a compensatory variant, considered alone, correlates with MDR status. Steps 5 and 6 measure multivariate marginal contribution - whether that variant adds information beyond what the model already infers from the primary-resistance markers (katG, rpoB) it observes directly. Because MDR status is strongly determined by those primary markers, and compensatory mutations tend to co-occur with them as secondary, downstream events, a compensatory variant can be genuinely, statistically associated with MDR (Step 2 is correct) while contributing little to no additional signal once the model already knows the primary markers are present (Steps 5 and 6 are also correct, to different degrees - SHAP retains a small residual signal for embR specifically; EBM retains none).</w:t>
      </w:r>
    </w:p>
    <w:p w14:paraId="47402E0E" w14:textId="77777777" w:rsidR="008D6E8A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Why SHAP and EBM disagree specifically: </w:t>
      </w:r>
      <w:r>
        <w:rPr>
          <w:rFonts w:ascii="Times New Roman" w:hAnsi="Times New Roman" w:cs="Times New Roman"/>
        </w:rPr>
        <w:t>The remaining question is why Step 5 finds 2 compensatory hits where Step 6 finds 0. Both explain models trained on the identical input; the difference must come from how each model architecture handles a weak, correlated signal. A plausible explanation: Shapley values (Step 5) are computed to satisfy specific fairness/consistency guarantees across correlated features, which can let a weak but genuine independent signal like embR retain some credit even after the model has already used the primary-DR markers. EBM's boosting procedure (Step 6) fits shape functions in a way that may let the strongest, earliest-fit correlated features (katG, rpoB) absorb essentially all of the attribution for a downstream co-occurring signal like embR, leaving it with none. This is offered as a plausible mechanism, not a proven one - confirming it would require a dedicated ablation study (e.g. retraining each model with primary-DR features removed) that is out of scope for this report.</w:t>
      </w:r>
    </w:p>
    <w:p w14:paraId="4E3A6E61" w14:textId="77777777" w:rsidR="008D6E8A" w:rsidRDefault="00000000">
      <w:pPr>
        <w:pStyle w:val="Heading2"/>
      </w:pPr>
      <w:r>
        <w:rPr>
          <w:rFonts w:ascii="Times New Roman" w:hAnsi="Times New Roman" w:cs="Times New Roman"/>
        </w:rPr>
        <w:t>6.4 Case study - a sample-level check (no longer shows disagreement)</w:t>
      </w:r>
    </w:p>
    <w:p w14:paraId="32A960F2" w14:textId="77777777" w:rsidR="008D6E8A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waterfall (Step 5) and local-explanation (Step 6) plots both explain the identical two isolates, by design - both notebooks select the first confirmed-MDR and first confirmed-non-MDR sample in the same underlying array order, making a direct comparison meaningful rather than coincidental.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1600"/>
        <w:gridCol w:w="2900"/>
        <w:gridCol w:w="2900"/>
      </w:tblGrid>
      <w:tr w:rsidR="008D6E8A" w14:paraId="73178DB2" w14:textId="77777777">
        <w:trPr>
          <w:tblHeader/>
        </w:trPr>
        <w:tc>
          <w:tcPr>
            <w:tcW w:w="22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F8F85C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lastRenderedPageBreak/>
              <w:t>Sample</w:t>
            </w:r>
          </w:p>
        </w:tc>
        <w:tc>
          <w:tcPr>
            <w:tcW w:w="1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5CB019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True label</w:t>
            </w:r>
          </w:p>
        </w:tc>
        <w:tc>
          <w:tcPr>
            <w:tcW w:w="2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DC7E48" w14:textId="77777777" w:rsidR="008D6E8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XGBoost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 xml:space="preserve"> / SHAP prediction</w:t>
            </w:r>
          </w:p>
        </w:tc>
        <w:tc>
          <w:tcPr>
            <w:tcW w:w="2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E569C5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EBM prediction</w:t>
            </w:r>
          </w:p>
        </w:tc>
      </w:tr>
      <w:tr w:rsidR="008D6E8A" w14:paraId="2E2EF217" w14:textId="77777777">
        <w:tc>
          <w:tcPr>
            <w:tcW w:w="22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A3CB6A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SRR30519414</w:t>
            </w:r>
          </w:p>
        </w:tc>
        <w:tc>
          <w:tcPr>
            <w:tcW w:w="1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BF951F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MDR</w:t>
            </w:r>
          </w:p>
        </w:tc>
        <w:tc>
          <w:tcPr>
            <w:tcW w:w="2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C8AA85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0.952 (correct, confident)</w:t>
            </w:r>
          </w:p>
        </w:tc>
        <w:tc>
          <w:tcPr>
            <w:tcW w:w="2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426525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0.779 (correct, confident)</w:t>
            </w:r>
          </w:p>
        </w:tc>
      </w:tr>
      <w:tr w:rsidR="008D6E8A" w14:paraId="075039DB" w14:textId="77777777">
        <w:tc>
          <w:tcPr>
            <w:tcW w:w="22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0A384B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SRR11922476</w:t>
            </w:r>
          </w:p>
        </w:tc>
        <w:tc>
          <w:tcPr>
            <w:tcW w:w="16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1E6A37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non-MDR</w:t>
            </w:r>
          </w:p>
        </w:tc>
        <w:tc>
          <w:tcPr>
            <w:tcW w:w="2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DD9913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0.001 (correct, confident)</w:t>
            </w:r>
          </w:p>
        </w:tc>
        <w:tc>
          <w:tcPr>
            <w:tcW w:w="2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462040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0.001 (correct, confident)</w:t>
            </w:r>
          </w:p>
        </w:tc>
      </w:tr>
    </w:tbl>
    <w:p w14:paraId="2BC82AC0" w14:textId="77777777" w:rsidR="008D6E8A" w:rsidRDefault="008D6E8A">
      <w:pPr>
        <w:spacing w:after="200"/>
        <w:rPr>
          <w:rFonts w:ascii="Times New Roman" w:hAnsi="Times New Roman" w:cs="Times New Roman"/>
        </w:rPr>
      </w:pPr>
    </w:p>
    <w:p w14:paraId="391CD753" w14:textId="77777777" w:rsidR="008D6E8A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Interpretation: </w:t>
      </w:r>
      <w:r>
        <w:rPr>
          <w:rFonts w:ascii="Times New Roman" w:hAnsi="Times New Roman" w:cs="Times New Roman"/>
        </w:rPr>
        <w:t>An earlier version of this report used this comparison to illustrate a concrete case of EBM's AUC gap versus XGBoost - EBM predicted the MDR sample in the wrong direction (0.182). With the corrected, canonical models, that disagreement is gone: EBM now correctly and confidently predicts both samples (0.779 for the MDR isolate, 0.001 for the non-MDR isolate), the same direction as XGBoost/SHAP on both. This is a case where fixing an underlying reproducibility issue removed a striking illustrative example rather than just changing its numbers - worth stating plainly rather than searching for a replacement disagreement to preserve the section's original point. The aggregate AUC gap between the two models (Section 6.1) is real but small (0.9935 vs 0.9867); this specific pair of samples no longer happens to fall on opposite sides of it.</w:t>
      </w:r>
    </w:p>
    <w:p w14:paraId="227D613F" w14:textId="77777777" w:rsidR="008D6E8A" w:rsidRDefault="00000000">
      <w:pPr>
        <w:pStyle w:val="Heading2"/>
      </w:pPr>
      <w:r>
        <w:rPr>
          <w:rFonts w:ascii="Times New Roman" w:hAnsi="Times New Roman" w:cs="Times New Roman"/>
        </w:rPr>
        <w:t>6.5 PE_PGRS/PPE reliability caveat, consolidated</w:t>
      </w:r>
    </w:p>
    <w:p w14:paraId="3F087C69" w14:textId="77777777" w:rsidR="008D6E8A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Chromosome_840217 (PE_PGRS10) appears as a real, independent finding in two places: it is EBM's rank-16 main effect (Section 5.4, importance 0.130), and it is the single highest-priority position flagged by the Step 5 addendum's follow-up paralogy check - the one position among the 10 clearly-weak calls whose nearest paralog is a genuinely distant gene (2,962 kb away) rather than an internal tandem repeat, meaning read misassignment to that distant copy is a real, specific possibility here, not just general PE_PGRS repetitiveness. Any PE_PGRS/PPE-family finding from either Step 5 or Step 6 - including this one - should be checked against the addendum's full 47-position table before being reported without a caveat.</w:t>
      </w:r>
    </w:p>
    <w:p w14:paraId="65C59BAE" w14:textId="77777777" w:rsidR="004157FF" w:rsidRDefault="004157FF">
      <w:pPr>
        <w:spacing w:after="160"/>
        <w:rPr>
          <w:rFonts w:ascii="Times New Roman" w:hAnsi="Times New Roman" w:cs="Times New Roman"/>
        </w:rPr>
      </w:pPr>
    </w:p>
    <w:p w14:paraId="34FE5675" w14:textId="77777777" w:rsidR="004157FF" w:rsidRDefault="004157FF">
      <w:pPr>
        <w:spacing w:after="160"/>
        <w:rPr>
          <w:rFonts w:ascii="Times New Roman" w:hAnsi="Times New Roman" w:cs="Times New Roman"/>
        </w:rPr>
      </w:pPr>
    </w:p>
    <w:p w14:paraId="0215EAB3" w14:textId="77777777" w:rsidR="004157FF" w:rsidRDefault="004157FF">
      <w:pPr>
        <w:spacing w:after="160"/>
        <w:rPr>
          <w:rFonts w:ascii="Times New Roman" w:hAnsi="Times New Roman" w:cs="Times New Roman"/>
        </w:rPr>
      </w:pPr>
    </w:p>
    <w:p w14:paraId="3A822F21" w14:textId="77777777" w:rsidR="004157FF" w:rsidRDefault="004157FF">
      <w:pPr>
        <w:spacing w:after="160"/>
        <w:rPr>
          <w:rFonts w:ascii="Times New Roman" w:hAnsi="Times New Roman" w:cs="Times New Roman"/>
        </w:rPr>
      </w:pPr>
    </w:p>
    <w:p w14:paraId="30B83352" w14:textId="77777777" w:rsidR="004157FF" w:rsidRDefault="004157FF">
      <w:pPr>
        <w:spacing w:after="160"/>
        <w:rPr>
          <w:rFonts w:ascii="Times New Roman" w:hAnsi="Times New Roman" w:cs="Times New Roman"/>
        </w:rPr>
      </w:pPr>
    </w:p>
    <w:p w14:paraId="78866241" w14:textId="77777777" w:rsidR="004157FF" w:rsidRDefault="004157FF">
      <w:pPr>
        <w:spacing w:after="160"/>
        <w:rPr>
          <w:rFonts w:ascii="Times New Roman" w:hAnsi="Times New Roman" w:cs="Times New Roman"/>
        </w:rPr>
      </w:pPr>
    </w:p>
    <w:p w14:paraId="469C32A5" w14:textId="77777777" w:rsidR="004157FF" w:rsidRDefault="004157FF">
      <w:pPr>
        <w:spacing w:after="160"/>
        <w:rPr>
          <w:rFonts w:ascii="Times New Roman" w:hAnsi="Times New Roman" w:cs="Times New Roman"/>
        </w:rPr>
      </w:pPr>
    </w:p>
    <w:p w14:paraId="191CAB42" w14:textId="77777777" w:rsidR="004157FF" w:rsidRDefault="004157FF">
      <w:pPr>
        <w:spacing w:after="160"/>
        <w:rPr>
          <w:rFonts w:ascii="Times New Roman" w:hAnsi="Times New Roman" w:cs="Times New Roman"/>
        </w:rPr>
      </w:pPr>
    </w:p>
    <w:p w14:paraId="42B51ADE" w14:textId="77777777" w:rsidR="004157FF" w:rsidRDefault="004157FF">
      <w:pPr>
        <w:spacing w:after="160"/>
        <w:rPr>
          <w:rFonts w:ascii="Times New Roman" w:hAnsi="Times New Roman" w:cs="Times New Roman"/>
        </w:rPr>
      </w:pPr>
    </w:p>
    <w:p w14:paraId="01399663" w14:textId="77777777" w:rsidR="00624C3A" w:rsidRDefault="00624C3A">
      <w:pPr>
        <w:spacing w:after="160"/>
        <w:rPr>
          <w:rFonts w:ascii="Times New Roman" w:hAnsi="Times New Roman" w:cs="Times New Roman"/>
        </w:rPr>
      </w:pPr>
    </w:p>
    <w:p w14:paraId="6C3E84AE" w14:textId="77777777" w:rsidR="00624C3A" w:rsidRDefault="00624C3A">
      <w:pPr>
        <w:spacing w:after="160"/>
        <w:rPr>
          <w:rFonts w:ascii="Times New Roman" w:hAnsi="Times New Roman" w:cs="Times New Roman"/>
        </w:rPr>
      </w:pPr>
    </w:p>
    <w:p w14:paraId="65C86DDB" w14:textId="77777777" w:rsidR="00624C3A" w:rsidRDefault="00624C3A">
      <w:pPr>
        <w:spacing w:after="160"/>
        <w:rPr>
          <w:rFonts w:ascii="Times New Roman" w:hAnsi="Times New Roman" w:cs="Times New Roman"/>
        </w:rPr>
      </w:pPr>
    </w:p>
    <w:p w14:paraId="7D63AFBE" w14:textId="77777777" w:rsidR="00624C3A" w:rsidRDefault="00624C3A">
      <w:pPr>
        <w:spacing w:after="160"/>
        <w:rPr>
          <w:rFonts w:ascii="Times New Roman" w:hAnsi="Times New Roman" w:cs="Times New Roman"/>
        </w:rPr>
      </w:pPr>
    </w:p>
    <w:p w14:paraId="3BB3D457" w14:textId="77777777" w:rsidR="00624C3A" w:rsidRDefault="00624C3A">
      <w:pPr>
        <w:spacing w:after="160"/>
        <w:rPr>
          <w:rFonts w:ascii="Times New Roman" w:hAnsi="Times New Roman" w:cs="Times New Roman"/>
        </w:rPr>
      </w:pPr>
    </w:p>
    <w:p w14:paraId="1A8556BF" w14:textId="77777777" w:rsidR="00624C3A" w:rsidRDefault="00624C3A">
      <w:pPr>
        <w:spacing w:after="160"/>
        <w:rPr>
          <w:rFonts w:ascii="Times New Roman" w:hAnsi="Times New Roman" w:cs="Times New Roman"/>
        </w:rPr>
      </w:pPr>
    </w:p>
    <w:p w14:paraId="07BC4946" w14:textId="77777777" w:rsidR="00624C3A" w:rsidRDefault="00624C3A">
      <w:pPr>
        <w:spacing w:after="160"/>
        <w:rPr>
          <w:rFonts w:ascii="Times New Roman" w:hAnsi="Times New Roman" w:cs="Times New Roman"/>
        </w:rPr>
      </w:pPr>
    </w:p>
    <w:p w14:paraId="6DDE2951" w14:textId="77777777" w:rsidR="00624C3A" w:rsidRDefault="00624C3A">
      <w:pPr>
        <w:spacing w:after="160"/>
        <w:rPr>
          <w:rFonts w:ascii="Times New Roman" w:hAnsi="Times New Roman" w:cs="Times New Roman"/>
        </w:rPr>
      </w:pPr>
    </w:p>
    <w:p w14:paraId="4399AFC5" w14:textId="77777777" w:rsidR="008D6E8A" w:rsidRDefault="00000000">
      <w:pPr>
        <w:pStyle w:val="Heading1"/>
      </w:pPr>
      <w:r>
        <w:rPr>
          <w:rFonts w:ascii="Times New Roman" w:hAnsi="Times New Roman" w:cs="Times New Roman"/>
        </w:rPr>
        <w:lastRenderedPageBreak/>
        <w:t>7. Objective 2 - Final Status</w:t>
      </w:r>
    </w:p>
    <w:p w14:paraId="79F8FA6B" w14:textId="77777777" w:rsidR="008D6E8A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Objective 2's full text: </w:t>
      </w:r>
    </w:p>
    <w:p w14:paraId="5FABE39D" w14:textId="77777777" w:rsidR="008D6E8A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"To develop and evaluate an explainable machine learning model for prioritising genomic features associated with multidrug resistance, including candidate compensatory mutations."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4900"/>
        <w:gridCol w:w="1700"/>
      </w:tblGrid>
      <w:tr w:rsidR="008D6E8A" w14:paraId="0B93067B" w14:textId="77777777">
        <w:trPr>
          <w:tblHeader/>
        </w:trPr>
        <w:tc>
          <w:tcPr>
            <w:tcW w:w="2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47EAE8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4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0B9D33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Evidence</w:t>
            </w:r>
          </w:p>
        </w:tc>
        <w:tc>
          <w:tcPr>
            <w:tcW w:w="1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9A7BFA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8D6E8A" w14:paraId="35009540" w14:textId="77777777">
        <w:tc>
          <w:tcPr>
            <w:tcW w:w="2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6C5C4D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Develop an ML model</w:t>
            </w:r>
          </w:p>
        </w:tc>
        <w:tc>
          <w:tcPr>
            <w:tcW w:w="4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1DB19E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Four models trained (Step 4): LR, RF, </w:t>
            </w:r>
            <w:proofErr w:type="spellStart"/>
            <w:r>
              <w:rPr>
                <w:rFonts w:ascii="Times New Roman" w:hAnsi="Times New Roman" w:cs="Times New Roman"/>
                <w:sz w:val="19"/>
                <w:szCs w:val="19"/>
              </w:rPr>
              <w:t>XGBoost</w:t>
            </w:r>
            <w:proofErr w:type="spellEnd"/>
            <w:r>
              <w:rPr>
                <w:rFonts w:ascii="Times New Roman" w:hAnsi="Times New Roman" w:cs="Times New Roman"/>
                <w:sz w:val="19"/>
                <w:szCs w:val="19"/>
              </w:rPr>
              <w:t>, EBM, on identical chi2-selected input</w:t>
            </w:r>
          </w:p>
        </w:tc>
        <w:tc>
          <w:tcPr>
            <w:tcW w:w="1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33C45A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Complete</w:t>
            </w:r>
          </w:p>
        </w:tc>
      </w:tr>
      <w:tr w:rsidR="008D6E8A" w14:paraId="3EFAD563" w14:textId="77777777">
        <w:tc>
          <w:tcPr>
            <w:tcW w:w="2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6A88F2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Evaluate the model</w:t>
            </w:r>
          </w:p>
        </w:tc>
        <w:tc>
          <w:tcPr>
            <w:tcW w:w="4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149DCD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5-fold stratified CV, AUC 0.9663-0.9935 across all four; in-sample confusion matrices for error-pattern illustration</w:t>
            </w:r>
          </w:p>
        </w:tc>
        <w:tc>
          <w:tcPr>
            <w:tcW w:w="1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F6C546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Complete</w:t>
            </w:r>
          </w:p>
        </w:tc>
      </w:tr>
      <w:tr w:rsidR="008D6E8A" w14:paraId="1B6BB10C" w14:textId="77777777">
        <w:tc>
          <w:tcPr>
            <w:tcW w:w="2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D91154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Explainable / interpretable</w:t>
            </w:r>
          </w:p>
        </w:tc>
        <w:tc>
          <w:tcPr>
            <w:tcW w:w="4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7A9F9B" w14:textId="77777777" w:rsidR="008D6E8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  <w:szCs w:val="19"/>
              </w:rPr>
              <w:t>XGBoost</w:t>
            </w:r>
            <w:proofErr w:type="spellEnd"/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explained via SHAP </w:t>
            </w:r>
            <w:proofErr w:type="spellStart"/>
            <w:r>
              <w:rPr>
                <w:rFonts w:ascii="Times New Roman" w:hAnsi="Times New Roman" w:cs="Times New Roman"/>
                <w:sz w:val="19"/>
                <w:szCs w:val="19"/>
              </w:rPr>
              <w:t>TreeExplainer</w:t>
            </w:r>
            <w:proofErr w:type="spellEnd"/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(Step 5, exact Shapley values); EBM explained natively (Step 6, exact by construction, additivity verified against real predictions)</w:t>
            </w:r>
          </w:p>
        </w:tc>
        <w:tc>
          <w:tcPr>
            <w:tcW w:w="1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49B9DB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Complete</w:t>
            </w:r>
          </w:p>
        </w:tc>
      </w:tr>
      <w:tr w:rsidR="008D6E8A" w14:paraId="5D5BDAC4" w14:textId="77777777">
        <w:tc>
          <w:tcPr>
            <w:tcW w:w="2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73CC77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Prioritise genomic features associated with MDR</w:t>
            </w:r>
          </w:p>
        </w:tc>
        <w:tc>
          <w:tcPr>
            <w:tcW w:w="4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77A010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94,583 variants ranked by SHAP and by native EBM importance; 5-feature triple-model consensus set identified (Section 6.2)</w:t>
            </w:r>
          </w:p>
        </w:tc>
        <w:tc>
          <w:tcPr>
            <w:tcW w:w="1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444D72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Complete</w:t>
            </w:r>
          </w:p>
        </w:tc>
      </w:tr>
      <w:tr w:rsidR="008D6E8A" w14:paraId="6A57A458" w14:textId="77777777">
        <w:tc>
          <w:tcPr>
            <w:tcW w:w="24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E46E91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Assess candidate compensatory mutations specifically</w:t>
            </w:r>
          </w:p>
        </w:tc>
        <w:tc>
          <w:tcPr>
            <w:tcW w:w="49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727098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Reconciled across three sources: univariately enriched (Step 2), 2/100 independently predictive by SHAP, 0/100 by EBM (Section 6.3) - an honest, explained answer rather than a single overstated one</w:t>
            </w:r>
          </w:p>
        </w:tc>
        <w:tc>
          <w:tcPr>
            <w:tcW w:w="1700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562860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Complete</w:t>
            </w:r>
          </w:p>
        </w:tc>
      </w:tr>
    </w:tbl>
    <w:p w14:paraId="3F48B586" w14:textId="77777777" w:rsidR="008D6E8A" w:rsidRDefault="008D6E8A">
      <w:pPr>
        <w:spacing w:after="200"/>
        <w:rPr>
          <w:rFonts w:ascii="Times New Roman" w:hAnsi="Times New Roman" w:cs="Times New Roman"/>
        </w:rPr>
      </w:pPr>
    </w:p>
    <w:p w14:paraId="6368A6E6" w14:textId="77777777" w:rsidR="008D6E8A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Objective 2 is considered complete as of this report. The project moves to Objective 3 (evolutionary conservation, lineage distribution, and functional significance of candidate compensatory mutations).</w:t>
      </w:r>
    </w:p>
    <w:p w14:paraId="2725F029" w14:textId="2B9406E7" w:rsidR="008D6E8A" w:rsidRDefault="00FF0DC2">
      <w:pPr>
        <w:pStyle w:val="Heading1"/>
      </w:pPr>
      <w:r>
        <w:rPr>
          <w:rFonts w:ascii="Times New Roman" w:hAnsi="Times New Roman" w:cs="Times New Roman"/>
        </w:rPr>
        <w:t>8. Conclusions</w:t>
      </w:r>
    </w:p>
    <w:p w14:paraId="757B2451" w14:textId="77777777" w:rsidR="008D6E8A" w:rsidRDefault="00000000">
      <w:pPr>
        <w:spacing w:after="90"/>
        <w:ind w:left="45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ab/>
        <w:t>XGBoost (AUC 0.9935) remains the best-performing classifier of the four trained models; EBM (0.9867) is close behind and was chosen for deep explanation specifically because its interpretability is exact rather than approximated.</w:t>
      </w:r>
    </w:p>
    <w:p w14:paraId="102D25F3" w14:textId="77777777" w:rsidR="008D6E8A" w:rsidRDefault="00000000">
      <w:pPr>
        <w:spacing w:after="90"/>
        <w:ind w:left="45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ab/>
        <w:t xml:space="preserve">A 5-variant consensus set, corroborated independently by SHAP, Random Forest, and EBM, represents this project's most defensible set of MDR-predictive genomic features to date: katG, rpoB, and </w:t>
      </w:r>
      <w:proofErr w:type="spellStart"/>
      <w:r>
        <w:rPr>
          <w:rFonts w:ascii="Times New Roman" w:hAnsi="Times New Roman" w:cs="Times New Roman"/>
        </w:rPr>
        <w:t>embB</w:t>
      </w:r>
      <w:proofErr w:type="spellEnd"/>
      <w:r>
        <w:rPr>
          <w:rFonts w:ascii="Times New Roman" w:hAnsi="Times New Roman" w:cs="Times New Roman"/>
        </w:rPr>
        <w:t xml:space="preserve"> (twice) and </w:t>
      </w:r>
      <w:proofErr w:type="spellStart"/>
      <w:r>
        <w:rPr>
          <w:rFonts w:ascii="Times New Roman" w:hAnsi="Times New Roman" w:cs="Times New Roman"/>
        </w:rPr>
        <w:t>inhA</w:t>
      </w:r>
      <w:proofErr w:type="spellEnd"/>
      <w:r>
        <w:rPr>
          <w:rFonts w:ascii="Times New Roman" w:hAnsi="Times New Roman" w:cs="Times New Roman"/>
        </w:rPr>
        <w:t>.</w:t>
      </w:r>
    </w:p>
    <w:p w14:paraId="2F158BC2" w14:textId="77777777" w:rsidR="008D6E8A" w:rsidRDefault="00000000">
      <w:pPr>
        <w:spacing w:after="90"/>
        <w:ind w:left="45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ab/>
        <w:t xml:space="preserve">The single highest-importance interaction term in the entire EBM model (PPE19 x aspB) still ranks well outside the top 200 of the full 5,007-term </w:t>
      </w:r>
      <w:proofErr w:type="gramStart"/>
      <w:r>
        <w:rPr>
          <w:rFonts w:ascii="Times New Roman" w:hAnsi="Times New Roman" w:cs="Times New Roman"/>
        </w:rPr>
        <w:t>model</w:t>
      </w:r>
      <w:proofErr w:type="gramEnd"/>
      <w:r>
        <w:rPr>
          <w:rFonts w:ascii="Times New Roman" w:hAnsi="Times New Roman" w:cs="Times New Roman"/>
        </w:rPr>
        <w:t xml:space="preserve"> - none of the 7 interaction terms are among EBM's dominant signals; the model's predictive power comes almost entirely from its main effects.</w:t>
      </w:r>
    </w:p>
    <w:p w14:paraId="689F58F5" w14:textId="77777777" w:rsidR="008D6E8A" w:rsidRDefault="00000000">
      <w:pPr>
        <w:spacing w:after="90"/>
        <w:ind w:left="45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ab/>
        <w:t>Compensatory mutations are genuinely, statistically associated with MDR status when tested univariately (Step 2), but contribute little to no independent predictive signal once primary resistance markers are already known to a multivariate model - and the two explainable models used here (XGBoost/SHAP and EBM) do not fully agree even on that secondary question (SHAP retains a small residual signal for embR; EBM retains none), a genuine and reportable finding rather than a discrepancy to resolve away.</w:t>
      </w:r>
    </w:p>
    <w:p w14:paraId="442493C8" w14:textId="77777777" w:rsidR="008D6E8A" w:rsidRDefault="00000000">
      <w:pPr>
        <w:spacing w:after="90"/>
        <w:ind w:left="45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ab/>
        <w:t>A sample-level check (SRR30519414 and SRR11922476) that an earlier version of this report used to illustrate a concrete disagreement between XGBoost and EBM no longer shows one: both models now correctly and confidently classify both samples under the corrected, canonical training setup - worth reporting as an honest update rather than silently dropping the example.</w:t>
      </w:r>
    </w:p>
    <w:p w14:paraId="4A464542" w14:textId="77777777" w:rsidR="008D6E8A" w:rsidRDefault="00000000">
      <w:pPr>
        <w:spacing w:after="90"/>
        <w:ind w:left="45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ab/>
        <w:t xml:space="preserve">PE_PGRS/PPE-family genes remain a documented reliability caveat, not a confirmed artefact or confirmed biological signal - 30% of the enriched positions show real signs of reduced call confidence (10 of 33, </w:t>
      </w:r>
      <w:r>
        <w:rPr>
          <w:rFonts w:ascii="Times New Roman" w:hAnsi="Times New Roman" w:cs="Times New Roman"/>
        </w:rPr>
        <w:lastRenderedPageBreak/>
        <w:t>confirmed by a follow-up paralogy check) and only 6% are fully comparable to the primary-DR baseline; this distinction should travel with any PE_PGRS-related claim into a publication.</w:t>
      </w:r>
    </w:p>
    <w:p w14:paraId="04DBDA82" w14:textId="0C21D1E4" w:rsidR="008D6E8A" w:rsidRDefault="000B5A2C">
      <w:pPr>
        <w:pStyle w:val="Heading1"/>
      </w:pPr>
      <w:r>
        <w:rPr>
          <w:rFonts w:ascii="Times New Roman" w:hAnsi="Times New Roman" w:cs="Times New Roman"/>
        </w:rPr>
        <w:t>9. Next Steps</w:t>
      </w:r>
    </w:p>
    <w:tbl>
      <w:tblPr>
        <w:tblW w:w="92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3"/>
        <w:gridCol w:w="2606"/>
        <w:gridCol w:w="5414"/>
      </w:tblGrid>
      <w:tr w:rsidR="008D6E8A" w14:paraId="6CA18762" w14:textId="77777777" w:rsidTr="00FF0DC2">
        <w:trPr>
          <w:trHeight w:val="238"/>
          <w:tblHeader/>
        </w:trPr>
        <w:tc>
          <w:tcPr>
            <w:tcW w:w="1203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5A656D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2606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F1C2EB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5414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CF6D50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8D6E8A" w14:paraId="44AEDF2A" w14:textId="77777777" w:rsidTr="00FF0DC2">
        <w:trPr>
          <w:trHeight w:val="967"/>
        </w:trPr>
        <w:tc>
          <w:tcPr>
            <w:tcW w:w="1203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D3BC28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Step 8</w:t>
            </w:r>
          </w:p>
        </w:tc>
        <w:tc>
          <w:tcPr>
            <w:tcW w:w="2606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E60041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Lineage distribution analysis</w:t>
            </w:r>
          </w:p>
        </w:tc>
        <w:tc>
          <w:tcPr>
            <w:tcW w:w="5414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A4A085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Characterise how candidate compensatory mutations (and the 5-feature consensus set) are distributed across </w:t>
            </w:r>
            <w:proofErr w:type="spellStart"/>
            <w:r>
              <w:rPr>
                <w:rFonts w:ascii="Times New Roman" w:hAnsi="Times New Roman" w:cs="Times New Roman"/>
                <w:sz w:val="19"/>
                <w:szCs w:val="19"/>
              </w:rPr>
              <w:t>MTb</w:t>
            </w:r>
            <w:proofErr w:type="spellEnd"/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lineages 1-4, extending the per-lineage SHAP breakdown already produced in Step 5</w:t>
            </w:r>
          </w:p>
        </w:tc>
      </w:tr>
      <w:tr w:rsidR="008D6E8A" w14:paraId="5022FB13" w14:textId="77777777" w:rsidTr="00FF0DC2">
        <w:trPr>
          <w:trHeight w:val="477"/>
        </w:trPr>
        <w:tc>
          <w:tcPr>
            <w:tcW w:w="1203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B427BA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Step 9</w:t>
            </w:r>
          </w:p>
        </w:tc>
        <w:tc>
          <w:tcPr>
            <w:tcW w:w="2606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64B967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Evolutionary conservation analysis</w:t>
            </w:r>
          </w:p>
        </w:tc>
        <w:tc>
          <w:tcPr>
            <w:tcW w:w="5414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296C0E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Assess conservation of candidate compensatory mutations across </w:t>
            </w:r>
            <w:proofErr w:type="spellStart"/>
            <w:r>
              <w:rPr>
                <w:rFonts w:ascii="Times New Roman" w:hAnsi="Times New Roman" w:cs="Times New Roman"/>
                <w:sz w:val="19"/>
                <w:szCs w:val="19"/>
              </w:rPr>
              <w:t>MTb</w:t>
            </w:r>
            <w:proofErr w:type="spellEnd"/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phylogeny using computational bioinformatics methods</w:t>
            </w:r>
          </w:p>
        </w:tc>
      </w:tr>
      <w:tr w:rsidR="008D6E8A" w14:paraId="0B1838DA" w14:textId="77777777" w:rsidTr="00FF0DC2">
        <w:trPr>
          <w:trHeight w:val="715"/>
        </w:trPr>
        <w:tc>
          <w:tcPr>
            <w:tcW w:w="1203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06E543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Step 10</w:t>
            </w:r>
          </w:p>
        </w:tc>
        <w:tc>
          <w:tcPr>
            <w:tcW w:w="2606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963001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Functional/structural significance</w:t>
            </w:r>
          </w:p>
        </w:tc>
        <w:tc>
          <w:tcPr>
            <w:tcW w:w="5414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BC6916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Evaluate the functional and structural significance of candidate compensatory mutations, particularly the consensus-set and top-interaction variants identified here</w:t>
            </w:r>
          </w:p>
        </w:tc>
      </w:tr>
      <w:tr w:rsidR="008D6E8A" w14:paraId="7B9B3108" w14:textId="77777777" w:rsidTr="00FF0DC2">
        <w:trPr>
          <w:trHeight w:val="238"/>
        </w:trPr>
        <w:tc>
          <w:tcPr>
            <w:tcW w:w="1203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49BE17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Step 11</w:t>
            </w:r>
          </w:p>
        </w:tc>
        <w:tc>
          <w:tcPr>
            <w:tcW w:w="2606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0E495B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Final integration report</w:t>
            </w:r>
          </w:p>
        </w:tc>
        <w:tc>
          <w:tcPr>
            <w:tcW w:w="5414" w:type="dxa"/>
            <w:tcBorders>
              <w:top w:val="single" w:sz="2" w:space="0" w:color="B0CDD6"/>
              <w:left w:val="single" w:sz="2" w:space="0" w:color="B0CDD6"/>
              <w:bottom w:val="single" w:sz="2" w:space="0" w:color="B0CDD6"/>
              <w:right w:val="single" w:sz="2" w:space="0" w:color="B0CDD6"/>
            </w:tcBorders>
            <w:shd w:val="clear" w:color="auto" w:fill="F4F6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20E919" w14:textId="77777777" w:rsidR="008D6E8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Synthesise Objectives 1, 2, and 3 into the project's final report</w:t>
            </w:r>
          </w:p>
        </w:tc>
      </w:tr>
    </w:tbl>
    <w:p w14:paraId="37344221" w14:textId="68D9A741" w:rsidR="008D6E8A" w:rsidRDefault="008D6E8A">
      <w:pPr>
        <w:spacing w:after="160"/>
        <w:rPr>
          <w:rFonts w:ascii="Times New Roman" w:hAnsi="Times New Roman" w:cs="Times New Roman"/>
        </w:rPr>
      </w:pPr>
    </w:p>
    <w:sectPr w:rsidR="008D6E8A">
      <w:headerReference w:type="default" r:id="rId7"/>
      <w:footerReference w:type="default" r:id="rId8"/>
      <w:pgSz w:w="12240" w:h="15840"/>
      <w:pgMar w:top="1080" w:right="1008" w:bottom="1080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6AB4D" w14:textId="77777777" w:rsidR="00960F97" w:rsidRDefault="00960F97">
      <w:r>
        <w:separator/>
      </w:r>
    </w:p>
  </w:endnote>
  <w:endnote w:type="continuationSeparator" w:id="0">
    <w:p w14:paraId="1431B161" w14:textId="77777777" w:rsidR="00960F97" w:rsidRDefault="00960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1820D" w14:textId="77777777" w:rsidR="004B0B10" w:rsidRDefault="00000000">
    <w:pPr>
      <w:jc w:val="center"/>
    </w:pPr>
    <w:r>
      <w:rPr>
        <w:color w:val="7F8C8D"/>
        <w:sz w:val="16"/>
        <w:szCs w:val="16"/>
      </w:rPr>
      <w:t xml:space="preserve">Page </w:t>
    </w:r>
    <w:r>
      <w:rPr>
        <w:color w:val="7F8C8D"/>
        <w:sz w:val="16"/>
        <w:szCs w:val="16"/>
      </w:rPr>
      <w:fldChar w:fldCharType="begin"/>
    </w:r>
    <w:r>
      <w:rPr>
        <w:color w:val="7F8C8D"/>
        <w:sz w:val="16"/>
        <w:szCs w:val="16"/>
      </w:rPr>
      <w:instrText>PAGE</w:instrText>
    </w:r>
    <w:r>
      <w:rPr>
        <w:color w:val="7F8C8D"/>
        <w:sz w:val="16"/>
        <w:szCs w:val="16"/>
      </w:rPr>
      <w:fldChar w:fldCharType="separate"/>
    </w:r>
    <w:r w:rsidR="00A92CA3">
      <w:rPr>
        <w:noProof/>
        <w:color w:val="7F8C8D"/>
        <w:sz w:val="16"/>
        <w:szCs w:val="16"/>
      </w:rPr>
      <w:t>1</w:t>
    </w:r>
    <w:r>
      <w:rPr>
        <w:color w:val="7F8C8D"/>
        <w:sz w:val="16"/>
        <w:szCs w:val="16"/>
      </w:rPr>
      <w:fldChar w:fldCharType="end"/>
    </w:r>
    <w:r>
      <w:rPr>
        <w:color w:val="7F8C8D"/>
        <w:sz w:val="16"/>
        <w:szCs w:val="16"/>
      </w:rPr>
      <w:t xml:space="preserve"> of </w:t>
    </w:r>
    <w:r>
      <w:rPr>
        <w:color w:val="7F8C8D"/>
        <w:sz w:val="16"/>
        <w:szCs w:val="16"/>
      </w:rPr>
      <w:fldChar w:fldCharType="begin"/>
    </w:r>
    <w:r>
      <w:rPr>
        <w:color w:val="7F8C8D"/>
        <w:sz w:val="16"/>
        <w:szCs w:val="16"/>
      </w:rPr>
      <w:instrText>NUMPAGES</w:instrText>
    </w:r>
    <w:r>
      <w:rPr>
        <w:color w:val="7F8C8D"/>
        <w:sz w:val="16"/>
        <w:szCs w:val="16"/>
      </w:rPr>
      <w:fldChar w:fldCharType="separate"/>
    </w:r>
    <w:r w:rsidR="00A92CA3">
      <w:rPr>
        <w:noProof/>
        <w:color w:val="7F8C8D"/>
        <w:sz w:val="16"/>
        <w:szCs w:val="16"/>
      </w:rPr>
      <w:t>2</w:t>
    </w:r>
    <w:r>
      <w:rPr>
        <w:color w:val="7F8C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B2249" w14:textId="77777777" w:rsidR="00960F97" w:rsidRDefault="00960F97">
      <w:r>
        <w:separator/>
      </w:r>
    </w:p>
  </w:footnote>
  <w:footnote w:type="continuationSeparator" w:id="0">
    <w:p w14:paraId="5FD95D30" w14:textId="77777777" w:rsidR="00960F97" w:rsidRDefault="00960F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A1EC8" w14:textId="77777777" w:rsidR="004B0B10" w:rsidRDefault="00000000">
    <w:pPr>
      <w:jc w:val="right"/>
    </w:pPr>
    <w:r>
      <w:rPr>
        <w:color w:val="7F8C8D"/>
        <w:sz w:val="16"/>
        <w:szCs w:val="16"/>
      </w:rPr>
      <w:t xml:space="preserve">Phase </w:t>
    </w:r>
    <w:r w:rsidR="00A92CA3">
      <w:rPr>
        <w:color w:val="7F8C8D"/>
        <w:sz w:val="16"/>
        <w:szCs w:val="16"/>
      </w:rPr>
      <w:t xml:space="preserve">4C - </w:t>
    </w:r>
    <w:r>
      <w:rPr>
        <w:color w:val="7F8C8D"/>
        <w:sz w:val="16"/>
        <w:szCs w:val="16"/>
      </w:rPr>
      <w:t xml:space="preserve">Steps 6-7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01C3"/>
    <w:multiLevelType w:val="hybridMultilevel"/>
    <w:tmpl w:val="A02A1CB0"/>
    <w:lvl w:ilvl="0" w:tplc="E3780A3E">
      <w:start w:val="1"/>
      <w:numFmt w:val="bullet"/>
      <w:lvlText w:val="•"/>
      <w:lvlJc w:val="left"/>
      <w:pPr>
        <w:ind w:left="540" w:hanging="270"/>
      </w:pPr>
    </w:lvl>
    <w:lvl w:ilvl="1" w:tplc="2CF29AB2">
      <w:numFmt w:val="decimal"/>
      <w:lvlText w:val=""/>
      <w:lvlJc w:val="left"/>
    </w:lvl>
    <w:lvl w:ilvl="2" w:tplc="0E24CFCC">
      <w:numFmt w:val="decimal"/>
      <w:lvlText w:val=""/>
      <w:lvlJc w:val="left"/>
    </w:lvl>
    <w:lvl w:ilvl="3" w:tplc="45321D52">
      <w:numFmt w:val="decimal"/>
      <w:lvlText w:val=""/>
      <w:lvlJc w:val="left"/>
    </w:lvl>
    <w:lvl w:ilvl="4" w:tplc="52420252">
      <w:numFmt w:val="decimal"/>
      <w:lvlText w:val=""/>
      <w:lvlJc w:val="left"/>
    </w:lvl>
    <w:lvl w:ilvl="5" w:tplc="558C3B38">
      <w:numFmt w:val="decimal"/>
      <w:lvlText w:val=""/>
      <w:lvlJc w:val="left"/>
    </w:lvl>
    <w:lvl w:ilvl="6" w:tplc="3C2CF318">
      <w:numFmt w:val="decimal"/>
      <w:lvlText w:val=""/>
      <w:lvlJc w:val="left"/>
    </w:lvl>
    <w:lvl w:ilvl="7" w:tplc="9ECA1788">
      <w:numFmt w:val="decimal"/>
      <w:lvlText w:val=""/>
      <w:lvlJc w:val="left"/>
    </w:lvl>
    <w:lvl w:ilvl="8" w:tplc="1D7A1794">
      <w:numFmt w:val="decimal"/>
      <w:lvlText w:val=""/>
      <w:lvlJc w:val="left"/>
    </w:lvl>
  </w:abstractNum>
  <w:abstractNum w:abstractNumId="1" w15:restartNumberingAfterBreak="0">
    <w:nsid w:val="51B965A6"/>
    <w:multiLevelType w:val="hybridMultilevel"/>
    <w:tmpl w:val="EAC08BD6"/>
    <w:lvl w:ilvl="0" w:tplc="F4EA51BE">
      <w:start w:val="1"/>
      <w:numFmt w:val="bullet"/>
      <w:lvlText w:val="●"/>
      <w:lvlJc w:val="left"/>
      <w:pPr>
        <w:ind w:left="720" w:hanging="360"/>
      </w:pPr>
    </w:lvl>
    <w:lvl w:ilvl="1" w:tplc="4AE4A592">
      <w:start w:val="1"/>
      <w:numFmt w:val="bullet"/>
      <w:lvlText w:val="○"/>
      <w:lvlJc w:val="left"/>
      <w:pPr>
        <w:ind w:left="1440" w:hanging="360"/>
      </w:pPr>
    </w:lvl>
    <w:lvl w:ilvl="2" w:tplc="81CCF862">
      <w:start w:val="1"/>
      <w:numFmt w:val="bullet"/>
      <w:lvlText w:val="■"/>
      <w:lvlJc w:val="left"/>
      <w:pPr>
        <w:ind w:left="2160" w:hanging="360"/>
      </w:pPr>
    </w:lvl>
    <w:lvl w:ilvl="3" w:tplc="60E0E5AC">
      <w:start w:val="1"/>
      <w:numFmt w:val="bullet"/>
      <w:lvlText w:val="●"/>
      <w:lvlJc w:val="left"/>
      <w:pPr>
        <w:ind w:left="2880" w:hanging="360"/>
      </w:pPr>
    </w:lvl>
    <w:lvl w:ilvl="4" w:tplc="74E2A08C">
      <w:start w:val="1"/>
      <w:numFmt w:val="bullet"/>
      <w:lvlText w:val="○"/>
      <w:lvlJc w:val="left"/>
      <w:pPr>
        <w:ind w:left="3600" w:hanging="360"/>
      </w:pPr>
    </w:lvl>
    <w:lvl w:ilvl="5" w:tplc="C0CCE48A">
      <w:start w:val="1"/>
      <w:numFmt w:val="bullet"/>
      <w:lvlText w:val="■"/>
      <w:lvlJc w:val="left"/>
      <w:pPr>
        <w:ind w:left="4320" w:hanging="360"/>
      </w:pPr>
    </w:lvl>
    <w:lvl w:ilvl="6" w:tplc="07DCCCE2">
      <w:start w:val="1"/>
      <w:numFmt w:val="bullet"/>
      <w:lvlText w:val="●"/>
      <w:lvlJc w:val="left"/>
      <w:pPr>
        <w:ind w:left="5040" w:hanging="360"/>
      </w:pPr>
    </w:lvl>
    <w:lvl w:ilvl="7" w:tplc="B25E52AA">
      <w:start w:val="1"/>
      <w:numFmt w:val="bullet"/>
      <w:lvlText w:val="●"/>
      <w:lvlJc w:val="left"/>
      <w:pPr>
        <w:ind w:left="5760" w:hanging="360"/>
      </w:pPr>
    </w:lvl>
    <w:lvl w:ilvl="8" w:tplc="94C83C4C">
      <w:start w:val="1"/>
      <w:numFmt w:val="bullet"/>
      <w:lvlText w:val="●"/>
      <w:lvlJc w:val="left"/>
      <w:pPr>
        <w:ind w:left="6480" w:hanging="360"/>
      </w:pPr>
    </w:lvl>
  </w:abstractNum>
  <w:num w:numId="1" w16cid:durableId="1736396820">
    <w:abstractNumId w:val="1"/>
    <w:lvlOverride w:ilvl="0">
      <w:startOverride w:val="1"/>
    </w:lvlOverride>
  </w:num>
  <w:num w:numId="2" w16cid:durableId="18377188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B10"/>
    <w:rsid w:val="0002606E"/>
    <w:rsid w:val="000904FB"/>
    <w:rsid w:val="000A72F8"/>
    <w:rsid w:val="000B5A2C"/>
    <w:rsid w:val="001835CA"/>
    <w:rsid w:val="00216D6B"/>
    <w:rsid w:val="003029F3"/>
    <w:rsid w:val="00346B5B"/>
    <w:rsid w:val="00367654"/>
    <w:rsid w:val="003C1E88"/>
    <w:rsid w:val="004157FF"/>
    <w:rsid w:val="00436B06"/>
    <w:rsid w:val="00436FB5"/>
    <w:rsid w:val="004526AB"/>
    <w:rsid w:val="0046169F"/>
    <w:rsid w:val="00475B02"/>
    <w:rsid w:val="004B0B10"/>
    <w:rsid w:val="004B450E"/>
    <w:rsid w:val="005869B3"/>
    <w:rsid w:val="00593450"/>
    <w:rsid w:val="005C2107"/>
    <w:rsid w:val="00624C3A"/>
    <w:rsid w:val="00683568"/>
    <w:rsid w:val="006D2ED6"/>
    <w:rsid w:val="006F61AC"/>
    <w:rsid w:val="00712A20"/>
    <w:rsid w:val="00725C82"/>
    <w:rsid w:val="007569F3"/>
    <w:rsid w:val="00770D0B"/>
    <w:rsid w:val="007B1725"/>
    <w:rsid w:val="0085279D"/>
    <w:rsid w:val="00882365"/>
    <w:rsid w:val="008D6E8A"/>
    <w:rsid w:val="008D7A13"/>
    <w:rsid w:val="008E15F4"/>
    <w:rsid w:val="00960F97"/>
    <w:rsid w:val="009E54BC"/>
    <w:rsid w:val="00A44254"/>
    <w:rsid w:val="00A92CA3"/>
    <w:rsid w:val="00AE2351"/>
    <w:rsid w:val="00C074B4"/>
    <w:rsid w:val="00C16546"/>
    <w:rsid w:val="00C92591"/>
    <w:rsid w:val="00CB0188"/>
    <w:rsid w:val="00CE45E5"/>
    <w:rsid w:val="00CF1024"/>
    <w:rsid w:val="00D24D7E"/>
    <w:rsid w:val="00D51097"/>
    <w:rsid w:val="00D868BB"/>
    <w:rsid w:val="00D9244C"/>
    <w:rsid w:val="00DC1BD7"/>
    <w:rsid w:val="00DD69BA"/>
    <w:rsid w:val="00E2328D"/>
    <w:rsid w:val="00EF0D20"/>
    <w:rsid w:val="00F24A31"/>
    <w:rsid w:val="00F6589F"/>
    <w:rsid w:val="00FB75F9"/>
    <w:rsid w:val="00FE3CF8"/>
    <w:rsid w:val="00FF0DC2"/>
    <w:rsid w:val="00FF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598DD"/>
  <w15:docId w15:val="{BCB4DEF4-F712-4155-9A0A-BD7D63C4C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hd w:val="clear" w:color="auto" w:fill="1F4E5F"/>
      <w:spacing w:before="360" w:after="160"/>
      <w:outlineLvl w:val="0"/>
    </w:pPr>
    <w:rPr>
      <w:b/>
      <w:bCs/>
      <w:color w:val="FFFFFF"/>
      <w:sz w:val="30"/>
      <w:szCs w:val="30"/>
    </w:rPr>
  </w:style>
  <w:style w:type="paragraph" w:styleId="Heading2">
    <w:name w:val="heading 2"/>
    <w:uiPriority w:val="9"/>
    <w:unhideWhenUsed/>
    <w:qFormat/>
    <w:pPr>
      <w:pBdr>
        <w:bottom w:val="single" w:sz="6" w:space="3" w:color="B0CDD6"/>
      </w:pBdr>
      <w:spacing w:before="260" w:after="130"/>
      <w:outlineLvl w:val="1"/>
    </w:pPr>
    <w:rPr>
      <w:b/>
      <w:bCs/>
      <w:color w:val="1F4E5F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C0392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92CA3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A92CA3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A92CA3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92CA3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11</Pages>
  <Words>3754</Words>
  <Characters>21400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 willson</cp:lastModifiedBy>
  <cp:revision>41</cp:revision>
  <dcterms:created xsi:type="dcterms:W3CDTF">2026-07-26T18:08:00Z</dcterms:created>
  <dcterms:modified xsi:type="dcterms:W3CDTF">2026-08-18T14:13:00Z</dcterms:modified>
</cp:coreProperties>
</file>