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123047"/>
          <w:sz w:val="48"/>
        </w:rPr>
        <w:t>Verified ranges and criteria for the 14 maternal-risk inputs</w:t>
      </w:r>
    </w:p>
    <w:p>
      <w:pPr>
        <w:spacing w:after="200"/>
      </w:pPr>
      <w:r>
        <w:rPr>
          <w:color w:val="087E8B"/>
          <w:sz w:val="24"/>
        </w:rPr>
        <w:t>Source audit, implementation mapping, and mathematical checks</w:t>
      </w:r>
    </w:p>
    <w:p>
      <w:pPr>
        <w:spacing w:after="100"/>
      </w:pPr>
      <w:r>
        <w:t>Project: Maternal Risk Lens  |  Scope: 14 model inputs and source-linked screening rules  |  Source review date: 26 October 2026</w:t>
      </w:r>
    </w:p>
    <w:p>
      <w:pPr>
        <w:spacing w:after="100"/>
      </w:pPr>
      <w:r>
        <w:t>Purpose. This document records which maternal-risk criteria could be verified in World Health Organization (WHO) or Government of India (GoI) sources, how the project uses them, and where a clinical range could not be verified. It is intended as a repository research note and a source-audit appendix draft.</w:t>
      </w:r>
    </w:p>
    <w:p>
      <w:pPr>
        <w:spacing w:after="100"/>
      </w:pPr>
      <w:r>
        <w:t>Interpretation boundary. A source criterion is not automatically a normal range or a diagnosis. Some values below occur in referral, morbidity-screening, or testing contexts. The application presents them only with those limitations. Clinical decisions require the relevant history, repeat measurements, examination, and local protocol.</w:t>
      </w:r>
    </w:p>
    <w:p>
      <w:pPr>
        <w:pStyle w:val="Heading1"/>
      </w:pPr>
      <w:r>
        <w:t>1. What the project means by “range”</w:t>
      </w:r>
    </w:p>
    <w:p>
      <w:pPr>
        <w:spacing w:after="100"/>
      </w:pPr>
      <w:r>
        <w:t>The min/max values in features.py are software input-validation limits copied from the current application configuration. They protect the form and model input path; they are not WHO/GoI limits, healthy ranges, or treatment cutoffs. The what-if model reference values are scenario values used for sensitivity analysis and are not clinical targets.</w:t>
      </w:r>
    </w:p>
    <w:p>
      <w:pPr>
        <w:spacing w:after="100"/>
      </w:pPr>
      <w:r>
        <w:t>“Unable to verify” below means this review did not identify an applicable WHO or Indian-government source for a universal pregnancy-specific reference interval or maximum count. It does not mean that no clinical guidance exists in another context.</w:t>
      </w:r>
    </w:p>
    <w:p>
      <w:pPr>
        <w:pStyle w:val="Heading1"/>
      </w:pPr>
      <w:r>
        <w:t>2. Audit of all 14 model inputs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403"/>
            <w:vAlign w:val="center"/>
            <w:shd w:fill="1230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512"/>
            <w:vAlign w:val="center"/>
            <w:shd w:fill="1230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080"/>
            <w:vAlign w:val="center"/>
            <w:shd w:fill="1230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</w:t>
            </w:r>
          </w:p>
        </w:tc>
        <w:tc>
          <w:tcPr>
            <w:tcW w:type="dxa" w:w="1123"/>
            <w:vAlign w:val="center"/>
            <w:shd w:fill="1230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 input bounds*</w:t>
            </w:r>
          </w:p>
        </w:tc>
        <w:tc>
          <w:tcPr>
            <w:tcW w:type="dxa" w:w="3384"/>
            <w:vAlign w:val="center"/>
            <w:shd w:fill="1230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Verified WHO/GoI source criterion</w:t>
            </w:r>
          </w:p>
        </w:tc>
        <w:tc>
          <w:tcPr>
            <w:tcW w:type="dxa" w:w="3528"/>
            <w:vAlign w:val="center"/>
            <w:shd w:fill="1230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Project handling / limit</w:t>
            </w:r>
          </w:p>
        </w:tc>
      </w:tr>
      <w:tr>
        <w:trPr>
          <w:cantSplit/>
        </w:trPr>
        <w:tc>
          <w:tcPr>
            <w:tcW w:type="dxa" w:w="4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Age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years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14–55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GoI HRP checklist: age &lt;20 only for a young primigravida; age &gt;35 for elderly gravida [1].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Implemented as information flags. No general “normal age range”; the software bounds are not clinical cutoffs.</w:t>
            </w:r>
          </w:p>
        </w:tc>
      </w:tr>
      <w:tr>
        <w:trPr>
          <w:cantSplit/>
        </w:trPr>
        <w:tc>
          <w:tcPr>
            <w:tcW w:type="dxa" w:w="40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512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Gravida (G)</w:t>
            </w:r>
          </w:p>
        </w:tc>
        <w:tc>
          <w:tcPr>
            <w:tcW w:type="dxa" w:w="1080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count</w:t>
            </w:r>
          </w:p>
        </w:tc>
        <w:tc>
          <w:tcPr>
            <w:tcW w:type="dxa" w:w="112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1–12</w:t>
            </w:r>
          </w:p>
        </w:tc>
        <w:tc>
          <w:tcPr>
            <w:tcW w:type="dxa" w:w="3384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 WHO/GoI clinical maximum verified. Mathematical validation only: current pregnancy is included in G.</w:t>
            </w:r>
          </w:p>
        </w:tc>
        <w:tc>
          <w:tcPr>
            <w:tcW w:type="dxa" w:w="3528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Whole number; checked conditionally with P and A using P + A + 1 ≤ G.</w:t>
            </w:r>
          </w:p>
        </w:tc>
      </w:tr>
      <w:tr>
        <w:trPr>
          <w:cantSplit/>
        </w:trPr>
        <w:tc>
          <w:tcPr>
            <w:tcW w:type="dxa" w:w="4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Para (P)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count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0–11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 WHO/GoI clinical maximum verified. Project definition: prior pregnancies ending in delivery, counted as pregnancy events.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Whole number; included in conditional G/P/A arithmetic.</w:t>
            </w:r>
          </w:p>
        </w:tc>
      </w:tr>
      <w:tr>
        <w:trPr>
          <w:cantSplit/>
        </w:trPr>
        <w:tc>
          <w:tcPr>
            <w:tcW w:type="dxa" w:w="40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1512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Living children (L)</w:t>
            </w:r>
          </w:p>
        </w:tc>
        <w:tc>
          <w:tcPr>
            <w:tcW w:type="dxa" w:w="1080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count</w:t>
            </w:r>
          </w:p>
        </w:tc>
        <w:tc>
          <w:tcPr>
            <w:tcW w:type="dxa" w:w="112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0–11</w:t>
            </w:r>
          </w:p>
        </w:tc>
        <w:tc>
          <w:tcPr>
            <w:tcW w:type="dxa" w:w="3384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 WHO/GoI clinical maximum verified. Project definition: children currently alive.</w:t>
            </w:r>
          </w:p>
        </w:tc>
        <w:tc>
          <w:tcPr>
            <w:tcW w:type="dxa" w:w="3528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Whole number and nonnegative; not compared to P because units differ.</w:t>
            </w:r>
          </w:p>
        </w:tc>
      </w:tr>
      <w:tr>
        <w:trPr>
          <w:cantSplit/>
        </w:trPr>
        <w:tc>
          <w:tcPr>
            <w:tcW w:type="dxa" w:w="4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Pregnancy losses (A)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count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0–8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 WHO/GoI clinical maximum verified. Use the project-confirmed definition of A.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Whole number; mutually exclusive prior outcome category for the stated arithmetic check.</w:t>
            </w:r>
          </w:p>
        </w:tc>
      </w:tr>
      <w:tr>
        <w:trPr>
          <w:cantSplit/>
        </w:trPr>
        <w:tc>
          <w:tcPr>
            <w:tcW w:type="dxa" w:w="40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1512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Child deaths (D)</w:t>
            </w:r>
          </w:p>
        </w:tc>
        <w:tc>
          <w:tcPr>
            <w:tcW w:type="dxa" w:w="1080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count</w:t>
            </w:r>
          </w:p>
        </w:tc>
        <w:tc>
          <w:tcPr>
            <w:tcW w:type="dxa" w:w="112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0–5</w:t>
            </w:r>
          </w:p>
        </w:tc>
        <w:tc>
          <w:tcPr>
            <w:tcW w:type="dxa" w:w="3384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 WHO/GoI clinical maximum verified. Project definition: children who died.</w:t>
            </w:r>
          </w:p>
        </w:tc>
        <w:tc>
          <w:tcPr>
            <w:tcW w:type="dxa" w:w="3528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Whole number and nonnegative; no reconciliation against P without total liveborn children.</w:t>
            </w:r>
          </w:p>
        </w:tc>
      </w:tr>
      <w:tr>
        <w:trPr>
          <w:cantSplit/>
        </w:trPr>
        <w:tc>
          <w:tcPr>
            <w:tcW w:type="dxa" w:w="4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Systolic BP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mmHg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70–220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GoI pregnancy hypertension criterion ≥140 mmHg systolic on two consecutive readings [1]. GoI checklist uses ≥160 in severe/referral context [3]. GoI training source lists &lt;90 as a hypotension/shock screening sign [4]. WHO pre-eclampsia requires clinical context, including proteinuria after 20 weeks [2].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≥140 triggers repeat measurement/antenatal assessment; ≥160 triggers severe-range referral-context alert; &lt;90 is contextual screening. App does not diagnose.</w:t>
            </w:r>
          </w:p>
        </w:tc>
      </w:tr>
      <w:tr>
        <w:trPr>
          <w:cantSplit/>
        </w:trPr>
        <w:tc>
          <w:tcPr>
            <w:tcW w:type="dxa" w:w="40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1512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Diastolic BP</w:t>
            </w:r>
          </w:p>
        </w:tc>
        <w:tc>
          <w:tcPr>
            <w:tcW w:type="dxa" w:w="1080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mmHg</w:t>
            </w:r>
          </w:p>
        </w:tc>
        <w:tc>
          <w:tcPr>
            <w:tcW w:type="dxa" w:w="112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40–140</w:t>
            </w:r>
          </w:p>
        </w:tc>
        <w:tc>
          <w:tcPr>
            <w:tcW w:type="dxa" w:w="3384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GoI pregnancy hypertension criterion ≥90 mmHg diastolic on two consecutive readings [1]. GoI checklist uses ≥110 in severe/referral context [3]. WHO pre-eclampsia context [2].</w:t>
            </w:r>
          </w:p>
        </w:tc>
        <w:tc>
          <w:tcPr>
            <w:tcW w:type="dxa" w:w="3528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≥90 triggers repeat measurement/antenatal assessment; ≥110 severe-range referral-context alert. No low-DBP range asserted.</w:t>
            </w:r>
          </w:p>
        </w:tc>
      </w:tr>
      <w:tr>
        <w:trPr>
          <w:cantSplit/>
        </w:trPr>
        <w:tc>
          <w:tcPr>
            <w:tcW w:type="dxa" w:w="4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Heart rate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beats/min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40–160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GoI maternal near-miss guidance includes pulse &gt;120 in specified morbidity contexts [5]. No universal pregnancy interval verified.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&gt;120 is contextual information flag only; not a universal pregnancy tachycardia/normal-range classification.</w:t>
            </w:r>
          </w:p>
        </w:tc>
      </w:tr>
      <w:tr>
        <w:trPr>
          <w:cantSplit/>
        </w:trPr>
        <w:tc>
          <w:tcPr>
            <w:tcW w:type="dxa" w:w="40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1512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Respiratory rate</w:t>
            </w:r>
          </w:p>
        </w:tc>
        <w:tc>
          <w:tcPr>
            <w:tcW w:type="dxa" w:w="1080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breaths/min</w:t>
            </w:r>
          </w:p>
        </w:tc>
        <w:tc>
          <w:tcPr>
            <w:tcW w:type="dxa" w:w="112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8–40</w:t>
            </w:r>
          </w:p>
        </w:tc>
        <w:tc>
          <w:tcPr>
            <w:tcW w:type="dxa" w:w="3384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GoI maternal near-miss guidance includes respiratory rate &gt;20 in specified morbidity contexts [5]. No universal pregnancy interval verified.</w:t>
            </w:r>
          </w:p>
        </w:tc>
        <w:tc>
          <w:tcPr>
            <w:tcW w:type="dxa" w:w="3528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&gt;20 is contextual information flag only; no universal normal interval asserted.</w:t>
            </w:r>
          </w:p>
        </w:tc>
      </w:tr>
      <w:tr>
        <w:trPr>
          <w:cantSplit/>
        </w:trPr>
        <w:tc>
          <w:tcPr>
            <w:tcW w:type="dxa" w:w="4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Body temperature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°F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95–106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GoI Safe Childbirth Checklist uses fever ≥38°C during labour/childbirth [3]. No general pregnancy temperature interval verified in this review.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≥100.4°F (38°C) is evaluated only when labour/childbirth context is selected. Conversion: 38 × 9/5 + 32 = 100.4.</w:t>
            </w:r>
          </w:p>
        </w:tc>
      </w:tr>
      <w:tr>
        <w:trPr>
          <w:cantSplit/>
        </w:trPr>
        <w:tc>
          <w:tcPr>
            <w:tcW w:type="dxa" w:w="40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1512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Random blood sugar (RBS)</w:t>
            </w:r>
          </w:p>
        </w:tc>
        <w:tc>
          <w:tcPr>
            <w:tcW w:type="dxa" w:w="1080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mg/dL</w:t>
            </w:r>
          </w:p>
        </w:tc>
        <w:tc>
          <w:tcPr>
            <w:tcW w:type="dxa" w:w="112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50–450</w:t>
            </w:r>
          </w:p>
        </w:tc>
        <w:tc>
          <w:tcPr>
            <w:tcW w:type="dxa" w:w="3384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WHO general random plasma glucose diabetes criterion ≥200 mg/dL requires classic symptoms or hyperglycaemic crisis [6]. GoI GDM guideline uses a timed 2-hour 75 g OGTT, with ≥140 mg/dL criterion [7].</w:t>
            </w:r>
          </w:p>
        </w:tc>
        <w:tc>
          <w:tcPr>
            <w:tcW w:type="dxa" w:w="3528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≥200 produces information/review flag only because symptoms are not collected. The RBS field is not treated as an OGTT or GDM diagnosis.</w:t>
            </w:r>
          </w:p>
        </w:tc>
      </w:tr>
      <w:tr>
        <w:trPr>
          <w:cantSplit/>
        </w:trPr>
        <w:tc>
          <w:tcPr>
            <w:tcW w:type="dxa" w:w="40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Haemoglobin (Hb)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g/dL</w:t>
            </w:r>
          </w:p>
        </w:tc>
        <w:tc>
          <w:tcPr>
            <w:tcW w:type="dxa" w:w="112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4–17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WHO 2024 pregnancy anaemia cutoffs: &lt;11.0 in trimester 1 and 3; &lt;10.5 in trimester 2 [8]. WHO severity categories also inform alert wording [8].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Trimester-specific flags. If trimester is missing, app discloses use of first/third-trimester cutoff. Not a diagnosis.</w:t>
            </w:r>
          </w:p>
        </w:tc>
      </w:tr>
      <w:tr>
        <w:trPr>
          <w:cantSplit/>
        </w:trPr>
        <w:tc>
          <w:tcPr>
            <w:tcW w:type="dxa" w:w="40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1512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HbA1c</w:t>
            </w:r>
          </w:p>
        </w:tc>
        <w:tc>
          <w:tcPr>
            <w:tcW w:type="dxa" w:w="1080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%</w:t>
            </w:r>
          </w:p>
        </w:tc>
        <w:tc>
          <w:tcPr>
            <w:tcW w:type="dxa" w:w="1123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3.5–14</w:t>
            </w:r>
          </w:p>
        </w:tc>
        <w:tc>
          <w:tcPr>
            <w:tcW w:type="dxa" w:w="3384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WHO 2025: do not routinely measure HbA1c for GDM; measure early for women with pre-existing type 1/2 diabetes [9]. No general HbA1c pregnancy reference interval verified.</w:t>
            </w:r>
          </w:p>
        </w:tc>
        <w:tc>
          <w:tcPr>
            <w:tcW w:type="dxa" w:w="3528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No HbA1c alert threshold is implemented. The field remains a model input only; its software bounds are not clinical limits.</w:t>
            </w:r>
          </w:p>
        </w:tc>
      </w:tr>
    </w:tbl>
    <w:p>
      <w:pPr>
        <w:spacing w:after="0"/>
      </w:pPr>
    </w:p>
    <w:p>
      <w:pPr>
        <w:spacing w:after="100"/>
      </w:pPr>
      <w:r>
        <w:t>* Application validation bounds from the project configuration. They are included to make the mapping auditable and must not be cited as clinical ranges.</w:t>
      </w:r>
    </w:p>
    <w:p>
      <w:pPr>
        <w:pStyle w:val="Heading1"/>
      </w:pPr>
      <w:r>
        <w:t>3. Obstetric-history mathematical verification</w:t>
      </w:r>
    </w:p>
    <w:p>
      <w:pPr>
        <w:spacing w:after="100"/>
      </w:pPr>
      <w:r>
        <w:t>The project confirms these field meanings: G = total pregnancies including the current pregnancy; P = prior pregnancies ending in delivery, counted as pregnancy events; L = children currently alive; A = previous pregnancy losses under the project definition; D = children who died. For the conditional check, P and A represent mutually exclusive prior-pregnancy outcome categories.</w:t>
      </w:r>
    </w:p>
    <w:p>
      <w:pPr>
        <w:spacing w:after="100"/>
      </w:pPr>
      <w:r>
        <w:t>Let G be the number of pregnancies including the current one. There are G − 1 prior pregnancies. If P counts prior pregnancies ending in delivery and A counts prior pregnancy losses, the categories cannot account for more prior pregnancies than exist:</w:t>
      </w:r>
    </w:p>
    <w:p>
      <w:pPr>
        <w:spacing w:after="120"/>
        <w:jc w:val="center"/>
      </w:pPr>
      <w:r>
        <w:rPr>
          <w:b/>
          <w:color w:val="087E8B"/>
          <w:sz w:val="26"/>
        </w:rPr>
        <w:t>P + A ≤ G − 1, equivalently P + A + 1 ≤ G</w:t>
      </w:r>
    </w:p>
    <w:p>
      <w:pPr>
        <w:spacing w:after="100"/>
      </w:pPr>
      <w:r>
        <w:t>Implementation: G, P, L, A, and D must be whole-number counts within the application’s accepted input bounds. The app rejects the record if P + A + 1 &gt; G. If equality holds, the entered P/A categories account for every prior pregnancy under the stated definitions. If P + A + 1 &lt; G, one or more outcomes may be unclassified or the history may be incomplete, so the app displays a review message rather than rejecting it.</w:t>
      </w:r>
    </w:p>
    <w:p>
      <w:pPr>
        <w:spacing w:after="100"/>
      </w:pPr>
      <w:r>
        <w:t>L and D are counts of children; P is a count of pregnancy events. A pregnancy can result in more than one child, so P cannot be used as a total-children-born denominator. Because the form does not collect total children born (or a complete pregnancy-outcome breakdown), it does not assert L + D = P or any other L/D equality. The arithmetic is a consistency check under explicit assumptions, not an obstetric definition or a clinical risk score.</w:t>
      </w:r>
    </w:p>
    <w:p>
      <w:pPr>
        <w:pStyle w:val="Heading1"/>
      </w:pPr>
      <w:r>
        <w:t>4. Rule implementation and limitations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728"/>
            <w:vAlign w:val="center"/>
            <w:shd w:fill="1230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Rule group</w:t>
            </w:r>
          </w:p>
        </w:tc>
        <w:tc>
          <w:tcPr>
            <w:tcW w:type="dxa" w:w="2880"/>
            <w:vAlign w:val="center"/>
            <w:shd w:fill="1230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Implemented criterion</w:t>
            </w:r>
          </w:p>
        </w:tc>
        <w:tc>
          <w:tcPr>
            <w:tcW w:type="dxa" w:w="5904"/>
            <w:vAlign w:val="center"/>
            <w:shd w:fill="123047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Boundary / source limitation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Maternal age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&lt;20 and G=1; &gt;35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MoHFW/PMSMA wording; strict boundaries retained. Information flag only [1].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Blood pressure</w:t>
            </w:r>
          </w:p>
        </w:tc>
        <w:tc>
          <w:tcPr>
            <w:tcW w:type="dxa" w:w="2880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≥140 systolic or ≥90 diastolic; severe-context ≥160 systolic or ≥110 diastolic; SBP &lt;90 context sign</w:t>
            </w:r>
          </w:p>
        </w:tc>
        <w:tc>
          <w:tcPr>
            <w:tcW w:type="dxa" w:w="5904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Repeat reading and clinical context matter; no diagnosis of pre-eclampsia [1–4].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Random glucose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≥200 mg/dL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Symptom/crisis condition missing from form; information flag only. Does not substitute for Indian timed OGTT [6–7].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Haemoglobin</w:t>
            </w:r>
          </w:p>
        </w:tc>
        <w:tc>
          <w:tcPr>
            <w:tcW w:type="dxa" w:w="2880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Trimester-specific thresholds</w:t>
            </w:r>
          </w:p>
        </w:tc>
        <w:tc>
          <w:tcPr>
            <w:tcW w:type="dxa" w:w="5904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WHO 2024 thresholds; trimester is optional context, not a model feature [8].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Heart/respiratory rate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HR &gt;120; RR &gt;20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Only the cited GoI morbidity contexts; no universal pregnancy range [5].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Temperature</w:t>
            </w:r>
          </w:p>
        </w:tc>
        <w:tc>
          <w:tcPr>
            <w:tcW w:type="dxa" w:w="2880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≥38°C / 100.4°F when intrapartum selected</w:t>
            </w:r>
          </w:p>
        </w:tc>
        <w:tc>
          <w:tcPr>
            <w:tcW w:type="dxa" w:w="5904"/>
            <w:vAlign w:val="center"/>
            <w:shd w:fill="F0F6F7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Only labour/childbirth checklist context [3].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HbA1c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 threshold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 rule: WHO does not recommend routine measurement for GDM; its guideline separately recommends early measurement for pre-existing type 1/2 diabetes [9].</w:t>
            </w:r>
          </w:p>
        </w:tc>
      </w:tr>
    </w:tbl>
    <w:p>
      <w:pPr>
        <w:spacing w:after="0"/>
      </w:pPr>
    </w:p>
    <w:p>
      <w:pPr>
        <w:spacing w:after="100"/>
      </w:pPr>
      <w:r>
        <w:t>The source URL and an explanatory limitation are retained with each generated rule flag in features.py. The model’s probability, explanations, and RAG suggestions are separate from these rule-based criteria; a model score is not a calibrated clinical probability.</w:t>
      </w:r>
    </w:p>
    <w:p>
      <w:pPr>
        <w:pStyle w:val="Heading1"/>
      </w:pPr>
      <w:r>
        <w:t>5. Research-paper methods text (adaptable)</w:t>
      </w:r>
    </w:p>
    <w:p>
      <w:pPr>
        <w:spacing w:after="100"/>
      </w:pPr>
      <w:r>
        <w:t>“The application accepted 14 model features. Input validation bounds were treated solely as software constraints and not as clinical reference ranges. Rule-based alerts were limited to criteria traceable to WHO or Government of India sources: age-related high-risk screening, pregnancy blood-pressure thresholds, context-specific low systolic pressure, random plasma glucose with the source-required symptom limitation, trimester-specific haemoglobin cutoffs, contextual maternal heart and respiratory rates, and intrapartum fever. HbA1c was not assigned a pregnancy alert threshold. Obstetric history counts were checked using P + A + 1 ≤ G only under the explicit assumption that G includes the current pregnancy and P and A are mutually exclusive prior-pregnancy outcome counts. Living-child and child-death counts were not equated with parity because their units differ. Criteria without a verified source in the selected WHO/Government of India scope were recorded as unable to verify rather than inferred.”</w:t>
      </w:r>
    </w:p>
    <w:p>
      <w:pPr>
        <w:spacing w:after="100"/>
      </w:pPr>
      <w:r>
        <w:t>Before publication, report the exact software version/commit, data dictionary, model training cohort, unit definitions, and any changes to source criteria. This source audit does not establish predictive validity, calibration, clinical utility, or patient safety.</w:t>
      </w:r>
    </w:p>
    <w:p>
      <w:pPr>
        <w:pStyle w:val="Heading1"/>
      </w:pPr>
      <w:r>
        <w:t>6. References</w:t>
      </w:r>
    </w:p>
    <w:p>
      <w:pPr>
        <w:spacing w:after="80"/>
        <w:ind w:left="230" w:hanging="230"/>
      </w:pPr>
      <w:r>
        <w:rPr>
          <w:b/>
        </w:rPr>
        <w:t xml:space="preserve">[1] </w:t>
      </w:r>
      <w:r>
        <w:t xml:space="preserve">Ministry of Health and Family Welfare, Government of India. PMSMA: High-risk conditions in pregnancy checklist. Young primigravida &lt;20 years; elderly gravida &gt;35 years; pregnancy hypertension criteria. </w:t>
      </w:r>
      <w:r>
        <w:rPr>
          <w:color w:val="087E8B"/>
          <w:sz w:val="16"/>
        </w:rPr>
        <w:t>https://pmsma.mohfw.gov.in/wp-content/uploads/2016/10/High-Risk-Conditions-in-preg-modified-Final.pdf</w:t>
      </w:r>
    </w:p>
    <w:p>
      <w:pPr>
        <w:spacing w:after="80"/>
        <w:ind w:left="230" w:hanging="230"/>
      </w:pPr>
      <w:r>
        <w:rPr>
          <w:b/>
        </w:rPr>
        <w:t xml:space="preserve">[2] </w:t>
      </w:r>
      <w:r>
        <w:t xml:space="preserve">World Health Organization. Pre-eclampsia. Diagnostic context includes new hypertension after 20 weeks and proteinuria or other organ dysfunction. </w:t>
      </w:r>
      <w:r>
        <w:rPr>
          <w:color w:val="087E8B"/>
          <w:sz w:val="16"/>
        </w:rPr>
        <w:t>https://www.who.int/news-room/fact-sheets/detail/pre-eclampsia</w:t>
      </w:r>
    </w:p>
    <w:p>
      <w:pPr>
        <w:spacing w:after="80"/>
        <w:ind w:left="230" w:hanging="230"/>
      </w:pPr>
      <w:r>
        <w:rPr>
          <w:b/>
        </w:rPr>
        <w:t xml:space="preserve">[3] </w:t>
      </w:r>
      <w:r>
        <w:t xml:space="preserve">National Health Mission, Government of India. GoI Recommended Case Sheets / Safe Childbirth Checklist (Case-sheet L3). Labour/childbirth fever and referral criteria. </w:t>
      </w:r>
      <w:r>
        <w:rPr>
          <w:color w:val="087E8B"/>
          <w:sz w:val="16"/>
        </w:rPr>
        <w:t>https://www.nhm.gov.in/images/pdf/Dakshata_Implementation/GoI_Recommended_Casesheets_LR_Register_Reporting_Tool/Case-sheet-L3.pdf</w:t>
      </w:r>
    </w:p>
    <w:p>
      <w:pPr>
        <w:spacing w:after="80"/>
        <w:ind w:left="230" w:hanging="230"/>
      </w:pPr>
      <w:r>
        <w:rPr>
          <w:b/>
        </w:rPr>
        <w:t xml:space="preserve">[4] </w:t>
      </w:r>
      <w:r>
        <w:t xml:space="preserve">National Health Mission, Government of India. DAKSHATA: Mentoring Obstetric Drills Package, Mentoring and Support Visit 1. Contextual screening signs. </w:t>
      </w:r>
      <w:r>
        <w:rPr>
          <w:color w:val="087E8B"/>
          <w:sz w:val="16"/>
        </w:rPr>
        <w:t>https://www.nhm.gov.in/images/pdf/Dakshata_Implementation/Mentoring_Obstetric_Drills_Package/MSV_1.pdf</w:t>
      </w:r>
    </w:p>
    <w:p>
      <w:pPr>
        <w:spacing w:after="80"/>
        <w:ind w:left="230" w:hanging="230"/>
      </w:pPr>
      <w:r>
        <w:rPr>
          <w:b/>
        </w:rPr>
        <w:t xml:space="preserve">[5] </w:t>
      </w:r>
      <w:r>
        <w:t xml:space="preserve">National Health Mission, Government of India. Maternal Near Miss Operational Guidelines. Maternal morbidity context for tachycardia and tachypnea indicators. </w:t>
      </w:r>
      <w:r>
        <w:rPr>
          <w:color w:val="087E8B"/>
          <w:sz w:val="16"/>
        </w:rPr>
        <w:t>https://www.nhm.gov.in/images/pdf/programmes/maternal-health/guidelines/Maternal_Near_Miss_Operational_Guidelines.pdf</w:t>
      </w:r>
    </w:p>
    <w:p>
      <w:pPr>
        <w:spacing w:after="80"/>
        <w:ind w:left="230" w:hanging="230"/>
      </w:pPr>
      <w:r>
        <w:rPr>
          <w:b/>
        </w:rPr>
        <w:t xml:space="preserve">[6] </w:t>
      </w:r>
      <w:r>
        <w:t xml:space="preserve">World Health Organization. Diabetes: questions and answers. Diagnostic criteria, including random plasma glucose with classic symptoms or hyperglycaemic crisis. </w:t>
      </w:r>
      <w:r>
        <w:rPr>
          <w:color w:val="087E8B"/>
          <w:sz w:val="16"/>
        </w:rPr>
        <w:t>https://www.who.int/news-room/questions-and-answers/item/diabetes</w:t>
      </w:r>
    </w:p>
    <w:p>
      <w:pPr>
        <w:spacing w:after="80"/>
        <w:ind w:left="230" w:hanging="230"/>
      </w:pPr>
      <w:r>
        <w:rPr>
          <w:b/>
        </w:rPr>
        <w:t xml:space="preserve">[7] </w:t>
      </w:r>
      <w:r>
        <w:t xml:space="preserve">Ministry of Health and Family Welfare / National Health Mission, Government of India. Diagnosis and Management of Gestational Diabetes Mellitus: Technical and Operational Guidelines. 2018. </w:t>
      </w:r>
      <w:r>
        <w:rPr>
          <w:color w:val="087E8B"/>
          <w:sz w:val="16"/>
        </w:rPr>
        <w:t>https://nhm.gov.in/New_Updates_2018/NHM_Components/RMNCH_MH_Guidelines/Gestational-Diabetes-Mellitus.pdf</w:t>
      </w:r>
    </w:p>
    <w:p>
      <w:pPr>
        <w:spacing w:after="80"/>
        <w:ind w:left="230" w:hanging="230"/>
      </w:pPr>
      <w:r>
        <w:rPr>
          <w:b/>
        </w:rPr>
        <w:t xml:space="preserve">[8] </w:t>
      </w:r>
      <w:r>
        <w:t xml:space="preserve">World Health Organization. Guideline on haemoglobin cutoffs to define anaemia in individuals and populations. 2024. </w:t>
      </w:r>
      <w:r>
        <w:rPr>
          <w:color w:val="087E8B"/>
          <w:sz w:val="16"/>
        </w:rPr>
        <w:t>https://www.who.int/publications/i/item/9789240088542</w:t>
      </w:r>
    </w:p>
    <w:p>
      <w:pPr>
        <w:spacing w:after="80"/>
        <w:ind w:left="230" w:hanging="230"/>
      </w:pPr>
      <w:r>
        <w:rPr>
          <w:b/>
        </w:rPr>
        <w:t xml:space="preserve">[9] </w:t>
      </w:r>
      <w:r>
        <w:t xml:space="preserve">World Health Organization. WHO recommendations on care for women with diabetes during pregnancy. 2025. Recommendations on HbA1c measurement. </w:t>
      </w:r>
      <w:r>
        <w:rPr>
          <w:color w:val="087E8B"/>
          <w:sz w:val="16"/>
        </w:rPr>
        <w:t>https://www.who.int/publications/i/item/9789240117044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782"/>
        <w:sz w:val="16"/>
      </w:rPr>
      <w:t xml:space="preserve">Research support document  •  Source review: 26 October 2026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87E8B"/>
      </w:rPr>
      <w:t>MATERNAL RISK LENS  |  FEATURE CRITERIA &amp; SOURCE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935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Verified ranges and criteria for the 14 maternal-risk inputs</dc:title>
  <dc:subject>WHO and Government of India source audit with obstetric-history mathematical verification</dc:subject>
  <dc:creator>Maternal Risk Lens project</dc:creator>
  <cp:keywords>maternal health, WHO, Government of India, screening criteria, gravida, parity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