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9A4D4" w14:textId="4CFD1A28" w:rsidR="0064346E" w:rsidRPr="0064346E" w:rsidRDefault="0064346E" w:rsidP="0064346E">
      <w:r w:rsidRPr="0064346E">
        <w:rPr>
          <w:b/>
          <w:bCs/>
        </w:rPr>
        <w:t>Literature Themes</w:t>
      </w:r>
    </w:p>
    <w:p w14:paraId="73154296" w14:textId="77777777" w:rsidR="0064346E" w:rsidRPr="0064346E" w:rsidRDefault="0064346E" w:rsidP="0064346E"/>
    <w:p w14:paraId="11A87226" w14:textId="7C241B6A" w:rsidR="0064346E" w:rsidRPr="0064346E" w:rsidRDefault="0064346E" w:rsidP="0064346E">
      <w:r w:rsidRPr="0064346E">
        <w:rPr>
          <w:b/>
          <w:bCs/>
        </w:rPr>
        <w:t>Interim Synthesis Across P001–P005</w:t>
      </w:r>
    </w:p>
    <w:p w14:paraId="062FE6D0" w14:textId="77777777" w:rsidR="0064346E" w:rsidRPr="0064346E" w:rsidRDefault="0064346E" w:rsidP="0064346E"/>
    <w:p w14:paraId="76B66637" w14:textId="77777777" w:rsidR="0064346E" w:rsidRPr="0064346E" w:rsidRDefault="0064346E" w:rsidP="0064346E">
      <w:r w:rsidRPr="0064346E">
        <w:t>This is an interim thematic synthesis based on the five papers reviewed to date.</w:t>
      </w:r>
    </w:p>
    <w:p w14:paraId="4E7C5613" w14:textId="77777777" w:rsidR="0064346E" w:rsidRPr="0064346E" w:rsidRDefault="0064346E" w:rsidP="0064346E"/>
    <w:p w14:paraId="12FEE7C1" w14:textId="6B6AD2C1" w:rsidR="0064346E" w:rsidRPr="0064346E" w:rsidRDefault="0064346E" w:rsidP="0064346E">
      <w:r w:rsidRPr="0064346E">
        <w:rPr>
          <w:b/>
          <w:bCs/>
        </w:rPr>
        <w:t>Theme 1: AI Integration Extends Business Analytics</w:t>
      </w:r>
    </w:p>
    <w:p w14:paraId="580D8A37" w14:textId="77777777" w:rsidR="0064346E" w:rsidRPr="0064346E" w:rsidRDefault="0064346E" w:rsidP="0064346E">
      <w:r w:rsidRPr="0064346E">
        <w:t>Across P001–P005, the literature moves from business analytics implementation toward AI-enabled BI, predictive analytics and GenAI-supported decision environments. P001 focuses on BA implementation; P002 quantifies AI-driven BI performance; P003 frames BI, BPM, big data analytics, process mining and GenAI as an emerging layered architecture; P004 emphasizes XAI; P005 links AI-enhanced dashboards with predictive market strategy.</w:t>
      </w:r>
    </w:p>
    <w:p w14:paraId="1A7C352D" w14:textId="77777777" w:rsidR="0064346E" w:rsidRPr="0064346E" w:rsidRDefault="0064346E" w:rsidP="0064346E"/>
    <w:p w14:paraId="2A10C6FB" w14:textId="2A67CE87" w:rsidR="0064346E" w:rsidRPr="0064346E" w:rsidRDefault="0064346E" w:rsidP="0064346E">
      <w:r w:rsidRPr="0064346E">
        <w:rPr>
          <w:b/>
          <w:bCs/>
        </w:rPr>
        <w:t>Theme 2: Predictive and Prescriptive Analytics Are Replacing Purely Descriptive BI</w:t>
      </w:r>
    </w:p>
    <w:p w14:paraId="60AE5789" w14:textId="77777777" w:rsidR="0064346E" w:rsidRPr="0064346E" w:rsidRDefault="0064346E" w:rsidP="0064346E">
      <w:r w:rsidRPr="0064346E">
        <w:t>P005 is especially strong on this theme. It treats dashboards as decision-support systems incorporating forecasting, anomaly detection, predictive recommendations and scenario simulation. This extends the role of BI from reporting what happened to supporting what may happen and what actions may be considered.</w:t>
      </w:r>
    </w:p>
    <w:p w14:paraId="1B610022" w14:textId="77777777" w:rsidR="0064346E" w:rsidRPr="0064346E" w:rsidRDefault="0064346E" w:rsidP="0064346E"/>
    <w:p w14:paraId="734ED843" w14:textId="1412A59A" w:rsidR="0064346E" w:rsidRPr="0064346E" w:rsidRDefault="0064346E" w:rsidP="0064346E">
      <w:r w:rsidRPr="0064346E">
        <w:rPr>
          <w:b/>
          <w:bCs/>
        </w:rPr>
        <w:t>Theme 3: Organizational Readiness and Adoption Matter</w:t>
      </w:r>
    </w:p>
    <w:p w14:paraId="32CB8038" w14:textId="77777777" w:rsidR="0064346E" w:rsidRPr="0064346E" w:rsidRDefault="0064346E" w:rsidP="0064346E">
      <w:r w:rsidRPr="0064346E">
        <w:t>P001 identifies management support, skills, culture and organizational readiness as important antecedents of BA implementation. P002 similarly identifies infrastructure, staff competency, executive support and user trust as implementation factors. P005 adds user adoption and dashboard utilization as measurable pathways connecting AI capabilities to strategic outcomes.</w:t>
      </w:r>
    </w:p>
    <w:p w14:paraId="4402C42D" w14:textId="77777777" w:rsidR="0064346E" w:rsidRPr="0064346E" w:rsidRDefault="0064346E" w:rsidP="0064346E"/>
    <w:p w14:paraId="392CD867" w14:textId="4D24B3CD" w:rsidR="0064346E" w:rsidRPr="0064346E" w:rsidRDefault="0064346E" w:rsidP="0064346E">
      <w:r w:rsidRPr="0064346E">
        <w:rPr>
          <w:b/>
          <w:bCs/>
        </w:rPr>
        <w:t>Theme 4: Data Quality and Governance Are Foundational</w:t>
      </w:r>
    </w:p>
    <w:p w14:paraId="0876AA08" w14:textId="77777777" w:rsidR="0064346E" w:rsidRPr="0064346E" w:rsidRDefault="0064346E" w:rsidP="0064346E">
      <w:r w:rsidRPr="0064346E">
        <w:t>P002 emphasizes data quality and governance as systemic implementation conditions. P003 argues that analytics depends on data preparation, synchronization and architecture design. P005 links information quality and data governance to dashboard reliability and strategic performance. This suggests that technical model performance should be studied alongside the quality and governance of the data environment.</w:t>
      </w:r>
    </w:p>
    <w:p w14:paraId="4B65BABD" w14:textId="77777777" w:rsidR="0064346E" w:rsidRPr="0064346E" w:rsidRDefault="0064346E" w:rsidP="0064346E"/>
    <w:p w14:paraId="18B9C997" w14:textId="5AECE547" w:rsidR="0064346E" w:rsidRPr="0064346E" w:rsidRDefault="0064346E" w:rsidP="0064346E">
      <w:r w:rsidRPr="0064346E">
        <w:rPr>
          <w:b/>
          <w:bCs/>
        </w:rPr>
        <w:lastRenderedPageBreak/>
        <w:t>Theme 5: Explainability, Transparency and Trust</w:t>
      </w:r>
    </w:p>
    <w:p w14:paraId="2A777309" w14:textId="77777777" w:rsidR="0064346E" w:rsidRPr="0064346E" w:rsidRDefault="0064346E" w:rsidP="0064346E">
      <w:r w:rsidRPr="0064346E">
        <w:t>P004 makes explainability the central topic, particularly in food-quality applications, and identifies underuse of XAI. P003 warns that GenAI explanations can misrepresent uncertainty and therefore should remain coupled with source access and human checking. P005 identifies model transparency, explainability, bias, fairness and trust as important gaps. Together these studies show that trustworthy AI is becoming part of business analytics effectiveness rather than a separate technical concern.</w:t>
      </w:r>
    </w:p>
    <w:p w14:paraId="4384D731" w14:textId="77777777" w:rsidR="0064346E" w:rsidRPr="0064346E" w:rsidRDefault="0064346E" w:rsidP="0064346E"/>
    <w:p w14:paraId="5A40521C" w14:textId="5BE4285A" w:rsidR="0064346E" w:rsidRPr="0064346E" w:rsidRDefault="0064346E" w:rsidP="0064346E">
      <w:r w:rsidRPr="0064346E">
        <w:rPr>
          <w:b/>
          <w:bCs/>
        </w:rPr>
        <w:t>Theme 6: Human Oversight and Socio-Technical Decision Support</w:t>
      </w:r>
    </w:p>
    <w:p w14:paraId="709AD7CE" w14:textId="77777777" w:rsidR="0064346E" w:rsidRPr="0064346E" w:rsidRDefault="0064346E" w:rsidP="0064346E">
      <w:r w:rsidRPr="0064346E">
        <w:t>P003 explicitly emphasizes human oversight and the interaction between analytical outputs and managerial action. P001 emphasizes organizational culture and management support. P005 emphasizes user adoption, training, cross-functional collaboration and change management. The emerging literature therefore treats AI-enabled analytics as socio-technical systems.</w:t>
      </w:r>
    </w:p>
    <w:p w14:paraId="7F55FFA8" w14:textId="77777777" w:rsidR="0064346E" w:rsidRPr="0064346E" w:rsidRDefault="0064346E" w:rsidP="0064346E"/>
    <w:p w14:paraId="213DB9C2" w14:textId="3C928424" w:rsidR="0064346E" w:rsidRPr="0064346E" w:rsidRDefault="0064346E" w:rsidP="0064346E">
      <w:r w:rsidRPr="0064346E">
        <w:rPr>
          <w:b/>
          <w:bCs/>
        </w:rPr>
        <w:t>Theme 7: Context, Sector and Generalizability</w:t>
      </w:r>
    </w:p>
    <w:p w14:paraId="580C0657" w14:textId="77777777" w:rsidR="0064346E" w:rsidRPr="0064346E" w:rsidRDefault="0064346E" w:rsidP="0064346E">
      <w:r w:rsidRPr="0064346E">
        <w:t>P001 identifies gaps in SMEs and sector-specific research. P002 reports sector variation, with finance and healthcare receiving substantial attention. P004 is sector-specific to food quality and notes data-type gaps. P005 is limited to U.S. enterprises and calls for global and SME research. Generalizability is therefore a recurring limitation.</w:t>
      </w:r>
    </w:p>
    <w:p w14:paraId="605C20A7" w14:textId="77777777" w:rsidR="0064346E" w:rsidRPr="0064346E" w:rsidRDefault="0064346E" w:rsidP="0064346E"/>
    <w:p w14:paraId="495D99D5" w14:textId="385F56D2" w:rsidR="0064346E" w:rsidRPr="0064346E" w:rsidRDefault="0064346E" w:rsidP="0064346E">
      <w:r w:rsidRPr="0064346E">
        <w:rPr>
          <w:b/>
          <w:bCs/>
        </w:rPr>
        <w:t>Theme 8: Long-Term and Causal Evidence Remains Limited</w:t>
      </w:r>
    </w:p>
    <w:p w14:paraId="26E36130" w14:textId="77777777" w:rsidR="0064346E" w:rsidRPr="0064346E" w:rsidRDefault="0064346E" w:rsidP="0064346E">
      <w:r w:rsidRPr="0064346E">
        <w:t>P001 identifies limited longitudinal evidence. P002 recommends stronger experimental and longitudinal designs. P005 identifies fragmented long-horizon ROI measurement and uneven causal identification. This is an important cross-paper gap because many studies report associations or short-term improvements without establishing sustained causal business impact.</w:t>
      </w:r>
    </w:p>
    <w:p w14:paraId="7C143BFC" w14:textId="77777777" w:rsidR="0064346E" w:rsidRPr="0064346E" w:rsidRDefault="0064346E" w:rsidP="0064346E"/>
    <w:p w14:paraId="2F4E32AD" w14:textId="7E164B9A" w:rsidR="0064346E" w:rsidRPr="0064346E" w:rsidRDefault="0064346E" w:rsidP="0064346E">
      <w:r w:rsidRPr="0064346E">
        <w:rPr>
          <w:b/>
          <w:bCs/>
        </w:rPr>
        <w:t>Emerging Synthesis</w:t>
      </w:r>
    </w:p>
    <w:p w14:paraId="31042488" w14:textId="2C66C813" w:rsidR="00BC7228" w:rsidRDefault="0064346E">
      <w:r w:rsidRPr="0064346E">
        <w:t>The literature increasingly supports a view of AI in business analytics as an integrated decision-support capability. However, the strongest future research direction is not simply to test whether AI improves performance. It is to determine which combinations of AI capability, data quality, governance, explainability, user adoption and organizational readiness reliably convert analytics into sustained decision and business value.</w:t>
      </w:r>
    </w:p>
    <w:sectPr w:rsidR="00BC72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46E"/>
    <w:rsid w:val="0047090D"/>
    <w:rsid w:val="0064346E"/>
    <w:rsid w:val="00711D7A"/>
    <w:rsid w:val="007966A8"/>
    <w:rsid w:val="00972D22"/>
    <w:rsid w:val="00BC7228"/>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6C7EC"/>
  <w15:chartTrackingRefBased/>
  <w15:docId w15:val="{D06C0156-34D2-48F2-B3B4-D12ABCCB4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34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34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346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346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346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34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34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34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34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346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346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346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346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346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34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34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34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346E"/>
    <w:rPr>
      <w:rFonts w:eastAsiaTheme="majorEastAsia" w:cstheme="majorBidi"/>
      <w:color w:val="272727" w:themeColor="text1" w:themeTint="D8"/>
    </w:rPr>
  </w:style>
  <w:style w:type="paragraph" w:styleId="Title">
    <w:name w:val="Title"/>
    <w:basedOn w:val="Normal"/>
    <w:next w:val="Normal"/>
    <w:link w:val="TitleChar"/>
    <w:uiPriority w:val="10"/>
    <w:qFormat/>
    <w:rsid w:val="00643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34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34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34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346E"/>
    <w:pPr>
      <w:spacing w:before="160"/>
      <w:jc w:val="center"/>
    </w:pPr>
    <w:rPr>
      <w:i/>
      <w:iCs/>
      <w:color w:val="404040" w:themeColor="text1" w:themeTint="BF"/>
    </w:rPr>
  </w:style>
  <w:style w:type="character" w:customStyle="1" w:styleId="QuoteChar">
    <w:name w:val="Quote Char"/>
    <w:basedOn w:val="DefaultParagraphFont"/>
    <w:link w:val="Quote"/>
    <w:uiPriority w:val="29"/>
    <w:rsid w:val="0064346E"/>
    <w:rPr>
      <w:i/>
      <w:iCs/>
      <w:color w:val="404040" w:themeColor="text1" w:themeTint="BF"/>
    </w:rPr>
  </w:style>
  <w:style w:type="paragraph" w:styleId="ListParagraph">
    <w:name w:val="List Paragraph"/>
    <w:basedOn w:val="Normal"/>
    <w:uiPriority w:val="34"/>
    <w:qFormat/>
    <w:rsid w:val="0064346E"/>
    <w:pPr>
      <w:ind w:left="720"/>
      <w:contextualSpacing/>
    </w:pPr>
  </w:style>
  <w:style w:type="character" w:styleId="IntenseEmphasis">
    <w:name w:val="Intense Emphasis"/>
    <w:basedOn w:val="DefaultParagraphFont"/>
    <w:uiPriority w:val="21"/>
    <w:qFormat/>
    <w:rsid w:val="0064346E"/>
    <w:rPr>
      <w:i/>
      <w:iCs/>
      <w:color w:val="2F5496" w:themeColor="accent1" w:themeShade="BF"/>
    </w:rPr>
  </w:style>
  <w:style w:type="paragraph" w:styleId="IntenseQuote">
    <w:name w:val="Intense Quote"/>
    <w:basedOn w:val="Normal"/>
    <w:next w:val="Normal"/>
    <w:link w:val="IntenseQuoteChar"/>
    <w:uiPriority w:val="30"/>
    <w:qFormat/>
    <w:rsid w:val="006434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346E"/>
    <w:rPr>
      <w:i/>
      <w:iCs/>
      <w:color w:val="2F5496" w:themeColor="accent1" w:themeShade="BF"/>
    </w:rPr>
  </w:style>
  <w:style w:type="character" w:styleId="IntenseReference">
    <w:name w:val="Intense Reference"/>
    <w:basedOn w:val="DefaultParagraphFont"/>
    <w:uiPriority w:val="32"/>
    <w:qFormat/>
    <w:rsid w:val="0064346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618</Words>
  <Characters>3523</Characters>
  <Application>Microsoft Office Word</Application>
  <DocSecurity>0</DocSecurity>
  <Lines>29</Lines>
  <Paragraphs>8</Paragraphs>
  <ScaleCrop>false</ScaleCrop>
  <Company/>
  <LinksUpToDate>false</LinksUpToDate>
  <CharactersWithSpaces>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2</cp:revision>
  <dcterms:created xsi:type="dcterms:W3CDTF">2026-08-16T16:12:00Z</dcterms:created>
  <dcterms:modified xsi:type="dcterms:W3CDTF">2026-08-16T16:14:00Z</dcterms:modified>
</cp:coreProperties>
</file>