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E1D6D" w14:textId="6625DAFF" w:rsidR="00B04A80" w:rsidRPr="00B04A80" w:rsidRDefault="00B04A80" w:rsidP="00B04A80">
      <w:r w:rsidRPr="00B04A80">
        <w:rPr>
          <w:b/>
          <w:bCs/>
        </w:rPr>
        <w:t>Weekly Progress</w:t>
      </w:r>
    </w:p>
    <w:p w14:paraId="1E3BA329" w14:textId="77777777" w:rsidR="00B04A80" w:rsidRPr="00B04A80" w:rsidRDefault="00B04A80" w:rsidP="00B04A80"/>
    <w:p w14:paraId="70EF1716" w14:textId="0E016254" w:rsidR="00B04A80" w:rsidRPr="00B04A80" w:rsidRDefault="00B04A80" w:rsidP="00B04A80">
      <w:r w:rsidRPr="00B04A80">
        <w:rPr>
          <w:b/>
          <w:bCs/>
        </w:rPr>
        <w:t>Week of 10–16 August 2026</w:t>
      </w:r>
    </w:p>
    <w:p w14:paraId="1F5593DE" w14:textId="77777777" w:rsidR="00B04A80" w:rsidRPr="00B04A80" w:rsidRDefault="00B04A80" w:rsidP="00B04A80"/>
    <w:p w14:paraId="31165C47" w14:textId="44085067" w:rsidR="00B04A80" w:rsidRPr="00B04A80" w:rsidRDefault="00B04A80" w:rsidP="00B04A80">
      <w:r w:rsidRPr="00B04A80">
        <w:rPr>
          <w:b/>
          <w:bCs/>
        </w:rPr>
        <w:t>Research Activity</w:t>
      </w:r>
    </w:p>
    <w:p w14:paraId="41DEE536" w14:textId="4A413E85" w:rsidR="00B04A80" w:rsidRPr="00B04A80" w:rsidRDefault="00B04A80" w:rsidP="00B04A80">
      <w:r w:rsidRPr="00B04A80">
        <w:rPr>
          <w:b/>
          <w:bCs/>
        </w:rPr>
        <w:t>P005 Literature Review and Research Synthesis</w:t>
      </w:r>
    </w:p>
    <w:p w14:paraId="1F0C2528" w14:textId="77777777" w:rsidR="00B04A80" w:rsidRPr="00B04A80" w:rsidRDefault="00B04A80" w:rsidP="00B04A80"/>
    <w:p w14:paraId="2FFA2F85" w14:textId="6E61611B" w:rsidR="00B04A80" w:rsidRPr="00B04A80" w:rsidRDefault="00B04A80" w:rsidP="00B04A80">
      <w:r w:rsidRPr="00B04A80">
        <w:rPr>
          <w:b/>
          <w:bCs/>
        </w:rPr>
        <w:t>Work Completed</w:t>
      </w:r>
    </w:p>
    <w:p w14:paraId="2BFDDFCD" w14:textId="77777777" w:rsidR="00B04A80" w:rsidRPr="00B04A80" w:rsidRDefault="00B04A80" w:rsidP="00B04A80"/>
    <w:p w14:paraId="457F972F" w14:textId="77777777" w:rsidR="00B04A80" w:rsidRPr="00B04A80" w:rsidRDefault="00B04A80" w:rsidP="00B04A80">
      <w:r w:rsidRPr="00B04A80">
        <w:t>- Completed detailed reading and extraction for P005.</w:t>
      </w:r>
    </w:p>
    <w:p w14:paraId="4AD7CC80" w14:textId="77777777" w:rsidR="00B04A80" w:rsidRPr="00B04A80" w:rsidRDefault="00B04A80" w:rsidP="00B04A80">
      <w:r w:rsidRPr="00B04A80">
        <w:t>- Documented paper identification, objectives, methodology, AI techniques, datasets, findings, limitations and research gaps.</w:t>
      </w:r>
    </w:p>
    <w:p w14:paraId="53CD2FF4" w14:textId="77777777" w:rsidR="00B04A80" w:rsidRPr="00B04A80" w:rsidRDefault="00B04A80" w:rsidP="00B04A80">
      <w:r w:rsidRPr="00B04A80">
        <w:t>- Recorded the methodological inconsistency within P005 rather than silently reconciling the different design descriptions.</w:t>
      </w:r>
    </w:p>
    <w:p w14:paraId="01B57B3C" w14:textId="77777777" w:rsidR="00B04A80" w:rsidRPr="00B04A80" w:rsidRDefault="00B04A80" w:rsidP="00B04A80">
      <w:r w:rsidRPr="00B04A80">
        <w:t>- Captured quantitative findings including predictive accuracy, dashboard responsiveness, time-to-insight, adoption and strategic KPI changes.</w:t>
      </w:r>
    </w:p>
    <w:p w14:paraId="2A456D3D" w14:textId="77777777" w:rsidR="00B04A80" w:rsidRPr="00B04A80" w:rsidRDefault="00B04A80" w:rsidP="00B04A80">
      <w:r w:rsidRPr="00B04A80">
        <w:t>- Updated the interim literature themes across P001–P005.</w:t>
      </w:r>
    </w:p>
    <w:p w14:paraId="447C78BB" w14:textId="77777777" w:rsidR="00B04A80" w:rsidRPr="00B04A80" w:rsidRDefault="00B04A80" w:rsidP="00B04A80">
      <w:r w:rsidRPr="00B04A80">
        <w:t>- Updated the interim literature comparison across P001–P005.</w:t>
      </w:r>
    </w:p>
    <w:p w14:paraId="763077EB" w14:textId="77777777" w:rsidR="00B04A80" w:rsidRPr="00B04A80" w:rsidRDefault="00B04A80" w:rsidP="00B04A80">
      <w:r w:rsidRPr="00B04A80">
        <w:t>- Updated research milestones to reflect completion through P005.</w:t>
      </w:r>
    </w:p>
    <w:p w14:paraId="3C757858" w14:textId="77777777" w:rsidR="00B04A80" w:rsidRPr="00B04A80" w:rsidRDefault="00B04A80" w:rsidP="00B04A80">
      <w:r w:rsidRPr="00B04A80">
        <w:t>- Prepared GitHub and LinkedIn research-progress content.</w:t>
      </w:r>
    </w:p>
    <w:p w14:paraId="0196991F" w14:textId="77777777" w:rsidR="00B04A80" w:rsidRPr="00B04A80" w:rsidRDefault="00B04A80" w:rsidP="00B04A80"/>
    <w:p w14:paraId="097CE2E0" w14:textId="0ED722DE" w:rsidR="00B04A80" w:rsidRPr="00B04A80" w:rsidRDefault="00B04A80" w:rsidP="00B04A80">
      <w:r w:rsidRPr="00B04A80">
        <w:rPr>
          <w:b/>
          <w:bCs/>
        </w:rPr>
        <w:t>Key Learning</w:t>
      </w:r>
    </w:p>
    <w:p w14:paraId="17187017" w14:textId="77777777" w:rsidR="00B04A80" w:rsidRPr="00B04A80" w:rsidRDefault="00B04A80" w:rsidP="00B04A80"/>
    <w:p w14:paraId="1F90D0A0" w14:textId="77777777" w:rsidR="00B04A80" w:rsidRPr="00B04A80" w:rsidRDefault="00B04A80" w:rsidP="00B04A80">
      <w:r w:rsidRPr="00B04A80">
        <w:t>P005 reinforces that AI-enabled business analytics should be examined as a socio-technical decision-support capability. Model performance is important, but data governance, usability, explainability, user adoption, organizational readiness and strategic alignment also influence whether analytical capabilities produce business value.</w:t>
      </w:r>
    </w:p>
    <w:p w14:paraId="11A0570B" w14:textId="77777777" w:rsidR="00B04A80" w:rsidRPr="00B04A80" w:rsidRDefault="00B04A80" w:rsidP="00B04A80"/>
    <w:p w14:paraId="4F37F2B6" w14:textId="0387E133" w:rsidR="00B04A80" w:rsidRPr="00B04A80" w:rsidRDefault="00B04A80" w:rsidP="00B04A80">
      <w:r w:rsidRPr="00B04A80">
        <w:rPr>
          <w:b/>
          <w:bCs/>
        </w:rPr>
        <w:t>Emerging Research Insight</w:t>
      </w:r>
    </w:p>
    <w:p w14:paraId="30670AAB" w14:textId="77777777" w:rsidR="00B04A80" w:rsidRPr="00B04A80" w:rsidRDefault="00B04A80" w:rsidP="00B04A80"/>
    <w:p w14:paraId="7C111C7B" w14:textId="77777777" w:rsidR="00B04A80" w:rsidRPr="00B04A80" w:rsidRDefault="00B04A80" w:rsidP="00B04A80">
      <w:r w:rsidRPr="00B04A80">
        <w:lastRenderedPageBreak/>
        <w:t>Across P001–P005, the literature is moving from isolated analytics adoption toward integrated AI-enabled decision support. However, there is still a need for stronger evidence explaining how AI capability, governance, explainability and organizational conditions interact over time to create sustained business outcomes.</w:t>
      </w:r>
    </w:p>
    <w:p w14:paraId="377E9D22" w14:textId="77777777" w:rsidR="00B04A80" w:rsidRPr="00B04A80" w:rsidRDefault="00B04A80" w:rsidP="00B04A80"/>
    <w:p w14:paraId="0F5F0456" w14:textId="0D3D4B8C" w:rsidR="00B04A80" w:rsidRPr="00B04A80" w:rsidRDefault="00B04A80" w:rsidP="00B04A80">
      <w:r w:rsidRPr="00B04A80">
        <w:rPr>
          <w:b/>
          <w:bCs/>
        </w:rPr>
        <w:t>Evidence to Carry Forward</w:t>
      </w:r>
    </w:p>
    <w:p w14:paraId="4B3608B2" w14:textId="77777777" w:rsidR="00B04A80" w:rsidRPr="00B04A80" w:rsidRDefault="00B04A80" w:rsidP="00B04A80"/>
    <w:p w14:paraId="72F86A01" w14:textId="77777777" w:rsidR="00B04A80" w:rsidRPr="00B04A80" w:rsidRDefault="00B04A80" w:rsidP="00B04A80">
      <w:r w:rsidRPr="00B04A80">
        <w:t>- Organizational readiness and management support.</w:t>
      </w:r>
    </w:p>
    <w:p w14:paraId="3F07A44C" w14:textId="77777777" w:rsidR="00B04A80" w:rsidRPr="00B04A80" w:rsidRDefault="00B04A80" w:rsidP="00B04A80">
      <w:r w:rsidRPr="00B04A80">
        <w:t>- Data quality and governance.</w:t>
      </w:r>
    </w:p>
    <w:p w14:paraId="2336BBDF" w14:textId="77777777" w:rsidR="00B04A80" w:rsidRPr="00B04A80" w:rsidRDefault="00B04A80" w:rsidP="00B04A80">
      <w:r w:rsidRPr="00B04A80">
        <w:t>- AI and predictive analytics capability.</w:t>
      </w:r>
    </w:p>
    <w:p w14:paraId="05D21FB3" w14:textId="77777777" w:rsidR="00B04A80" w:rsidRPr="00B04A80" w:rsidRDefault="00B04A80" w:rsidP="00B04A80">
      <w:r w:rsidRPr="00B04A80">
        <w:t>- Explainability and trust.</w:t>
      </w:r>
    </w:p>
    <w:p w14:paraId="6916C6A7" w14:textId="77777777" w:rsidR="00B04A80" w:rsidRPr="00B04A80" w:rsidRDefault="00B04A80" w:rsidP="00B04A80">
      <w:r w:rsidRPr="00B04A80">
        <w:t>- User adoption and dashboard usability.</w:t>
      </w:r>
    </w:p>
    <w:p w14:paraId="29CFF074" w14:textId="77777777" w:rsidR="00B04A80" w:rsidRPr="00B04A80" w:rsidRDefault="00B04A80" w:rsidP="00B04A80">
      <w:r w:rsidRPr="00B04A80">
        <w:t>- Long-term and causal evaluation.</w:t>
      </w:r>
    </w:p>
    <w:p w14:paraId="29484851" w14:textId="77777777" w:rsidR="00B04A80" w:rsidRPr="00B04A80" w:rsidRDefault="00B04A80" w:rsidP="00B04A80">
      <w:r w:rsidRPr="00B04A80">
        <w:t>- Cross-sector and cross-country generalizability.</w:t>
      </w:r>
    </w:p>
    <w:p w14:paraId="550B0B6A" w14:textId="77777777" w:rsidR="00B04A80" w:rsidRPr="00B04A80" w:rsidRDefault="00B04A80" w:rsidP="00B04A80"/>
    <w:p w14:paraId="23C1BFFF" w14:textId="7AE062DA" w:rsidR="00B04A80" w:rsidRPr="00B04A80" w:rsidRDefault="00B04A80" w:rsidP="00B04A80">
      <w:r w:rsidRPr="00B04A80">
        <w:rPr>
          <w:b/>
          <w:bCs/>
        </w:rPr>
        <w:t>Next Step</w:t>
      </w:r>
    </w:p>
    <w:p w14:paraId="5AEF4EFC" w14:textId="77777777" w:rsidR="00B04A80" w:rsidRPr="00B04A80" w:rsidRDefault="00B04A80" w:rsidP="00B04A80"/>
    <w:p w14:paraId="29B5FFFA" w14:textId="77777777" w:rsidR="00B04A80" w:rsidRPr="00B04A80" w:rsidRDefault="00B04A80" w:rsidP="00B04A80">
      <w:r w:rsidRPr="00B04A80">
        <w:t>Begin P006 and compare its findings against the current P001–P005 thematic framework.</w:t>
      </w:r>
    </w:p>
    <w:p w14:paraId="4629D8E9" w14:textId="77777777" w:rsidR="00B04A80" w:rsidRPr="00B04A80" w:rsidRDefault="00B04A80" w:rsidP="00B04A80"/>
    <w:p w14:paraId="4E733A3C" w14:textId="47895721" w:rsidR="00B04A80" w:rsidRPr="00B04A80" w:rsidRDefault="00B04A80" w:rsidP="00B04A80">
      <w:r w:rsidRPr="00B04A80">
        <w:rPr>
          <w:b/>
          <w:bCs/>
        </w:rPr>
        <w:t>Status</w:t>
      </w:r>
    </w:p>
    <w:p w14:paraId="358DF699" w14:textId="77777777" w:rsidR="00B04A80" w:rsidRPr="00B04A80" w:rsidRDefault="00B04A80" w:rsidP="00B04A80"/>
    <w:p w14:paraId="5959433A" w14:textId="58837E18" w:rsidR="00BC7228" w:rsidRDefault="00B04A80">
      <w:r w:rsidRPr="00B04A80">
        <w:rPr>
          <w:b/>
          <w:bCs/>
        </w:rPr>
        <w:t xml:space="preserve">P005 completed. Overall literature review progress: P001–P005 </w:t>
      </w:r>
      <w:proofErr w:type="gramStart"/>
      <w:r w:rsidRPr="00B04A80">
        <w:rPr>
          <w:b/>
          <w:bCs/>
        </w:rPr>
        <w:t>completed.</w:t>
      </w:r>
      <w:proofErr w:type="gramEnd"/>
    </w:p>
    <w:sectPr w:rsidR="00BC72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80"/>
    <w:rsid w:val="007966A8"/>
    <w:rsid w:val="00972D22"/>
    <w:rsid w:val="00B04A80"/>
    <w:rsid w:val="00BC7228"/>
    <w:rsid w:val="00D66915"/>
    <w:rsid w:val="00F37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7A6BE"/>
  <w15:chartTrackingRefBased/>
  <w15:docId w15:val="{E6D5BA11-6BA6-4091-BD85-A63F44C59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4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A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A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298</Words>
  <Characters>1704</Characters>
  <Application>Microsoft Office Word</Application>
  <DocSecurity>0</DocSecurity>
  <Lines>14</Lines>
  <Paragraphs>3</Paragraphs>
  <ScaleCrop>false</ScaleCrop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Sukruth M</dc:creator>
  <cp:keywords/>
  <dc:description/>
  <cp:lastModifiedBy>Sukruth M</cp:lastModifiedBy>
  <cp:revision>1</cp:revision>
  <dcterms:created xsi:type="dcterms:W3CDTF">2026-08-16T16:23:00Z</dcterms:created>
  <dcterms:modified xsi:type="dcterms:W3CDTF">2026-08-16T16:24:00Z</dcterms:modified>
</cp:coreProperties>
</file>