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F172A"/>
          <w:sz w:val="40"/>
        </w:rPr>
        <w:t>Project Technical Details</w:t>
      </w:r>
    </w:p>
    <w:p>
      <w:pPr>
        <w:spacing w:after="240"/>
        <w:jc w:val="center"/>
      </w:pPr>
      <w:r>
        <w:rPr>
          <w:i/>
          <w:color w:val="475569"/>
          <w:sz w:val="19"/>
        </w:rPr>
        <w:t>Complete technical, architectural, experimental, and mathematical disclosure for patent filing &amp; peer-reviewed evaluation.</w:t>
      </w:r>
    </w:p>
    <w:p>
      <w:pPr>
        <w:spacing w:line="276" w:lineRule="auto" w:after="80"/>
        <w:jc w:val="both"/>
      </w:pPr>
      <w:r>
        <w:rPr>
          <w:color w:val="1E293B"/>
        </w:rPr>
        <w:t>Complete every part of this sheet about your project and return it with your figures and supporting files. Write in your own words, give numbers with units, and enter "Not applicable" only where a question truly does not apply.</w:t>
        <w:br/>
      </w:r>
    </w:p>
    <w:tbl>
      <w:tblPr>
        <w:tblW w:type="auto" w:w="0"/>
        <w:jc w:val="center"/>
        <w:tblLook w:firstColumn="1" w:firstRow="1" w:lastColumn="0" w:lastRow="0" w:noHBand="0" w:noVBand="1" w:val="04A0"/>
      </w:tblPr>
      <w:tblGrid>
        <w:gridCol w:w="10080"/>
      </w:tblGrid>
      <w:tr>
        <w:tc>
          <w:tcPr>
            <w:tcW w:type="dxa" w:w="9792"/>
            <w:shd w:fill="F1F5F9"/>
            <w:tcMar>
              <w:top w:w="80" w:type="dxa"/>
              <w:bottom w:w="80" w:type="dxa"/>
              <w:left w:w="140" w:type="dxa"/>
              <w:right w:w="140" w:type="dxa"/>
            </w:tcMar>
          </w:tcPr>
          <w:p>
            <w:pPr>
              <w:spacing w:line="276" w:lineRule="auto"/>
              <w:jc w:val="left"/>
            </w:pPr>
            <w:r>
              <w:rPr>
                <w:b/>
                <w:sz w:val="18"/>
              </w:rPr>
              <w:t>How to fill this sheet:</w:t>
              <w:br/>
            </w:r>
            <w:r>
              <w:rPr>
                <w:sz w:val="17"/>
              </w:rPr>
              <w:t>• Answer below each question; add rows to any table as needed.</w:t>
              <w:br/>
              <w:t>• Attach figures, data files and code separately and refer to them by file name.</w:t>
              <w:br/>
              <w:t>• Cite every paper, patent or product you mention with its DOI, patent number or link.</w:t>
              <w:br/>
              <w:t>• Return the completed sheet.</w:t>
            </w:r>
          </w:p>
        </w:tc>
      </w:tr>
    </w:tbl>
    <w:p>
      <w:pPr>
        <w:spacing w:after="200"/>
      </w:pPr>
    </w:p>
    <w:p>
      <w:pPr>
        <w:pStyle w:val="Heading1"/>
        <w:spacing w:before="240" w:after="120"/>
      </w:pPr>
      <w:r>
        <w:rPr>
          <w:b/>
          <w:color w:val="0284C7"/>
        </w:rPr>
        <w:t>Part 1: Team and project basics</w:t>
      </w:r>
    </w:p>
    <w:p>
      <w:pPr>
        <w:spacing w:line="276" w:lineRule="auto" w:after="60"/>
        <w:jc w:val="both"/>
      </w:pPr>
      <w:r>
        <w:rPr>
          <w:b/>
          <w:color w:val="0F172A"/>
        </w:rPr>
        <w:t>1.1 Project name — a short, descriptive name of 15 words or fewer.</w:t>
      </w:r>
    </w:p>
    <w:p>
      <w:pPr>
        <w:spacing w:line="276" w:lineRule="auto" w:after="160"/>
        <w:jc w:val="both"/>
      </w:pPr>
      <w:r>
        <w:rPr>
          <w:b/>
          <w:color w:val="1E293B"/>
        </w:rPr>
        <w:t>MediShield: Edge-Intelligent Pharmacokinetic Smart Dispenser with Air-Gapped Optical Audit and Biomechanical Ingestion Verification</w:t>
      </w:r>
    </w:p>
    <w:p>
      <w:pPr>
        <w:spacing w:line="276" w:lineRule="auto" w:after="80"/>
        <w:jc w:val="both"/>
      </w:pPr>
      <w:r>
        <w:rPr>
          <w:b/>
          <w:color w:val="0F172A"/>
        </w:rPr>
        <w:t>1.2 Contributors — list every student member who contributed ideas to the work.</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260"/>
        <w:gridCol w:w="1260"/>
        <w:gridCol w:w="1260"/>
        <w:gridCol w:w="1260"/>
        <w:gridCol w:w="1260"/>
        <w:gridCol w:w="1260"/>
        <w:gridCol w:w="1260"/>
        <w:gridCol w:w="1260"/>
      </w:tblGrid>
      <w:tr>
        <w:tc>
          <w:tcPr>
            <w:tcW w:type="dxa" w:w="432"/>
            <w:shd w:fill="0284C7"/>
          </w:tcPr>
          <w:p>
            <w:pPr>
              <w:jc w:val="center"/>
            </w:pPr>
            <w:r>
              <w:rPr>
                <w:b/>
                <w:color w:val="FFFFFF"/>
                <w:sz w:val="15"/>
              </w:rPr>
              <w:t>#</w:t>
            </w:r>
          </w:p>
        </w:tc>
        <w:tc>
          <w:tcPr>
            <w:tcW w:type="dxa" w:w="1296"/>
            <w:shd w:fill="0284C7"/>
          </w:tcPr>
          <w:p>
            <w:pPr>
              <w:jc w:val="center"/>
            </w:pPr>
            <w:r>
              <w:rPr>
                <w:b/>
                <w:color w:val="FFFFFF"/>
                <w:sz w:val="15"/>
              </w:rPr>
              <w:t>Full name</w:t>
            </w:r>
          </w:p>
        </w:tc>
        <w:tc>
          <w:tcPr>
            <w:tcW w:type="dxa" w:w="1008"/>
            <w:shd w:fill="0284C7"/>
          </w:tcPr>
          <w:p>
            <w:pPr>
              <w:jc w:val="center"/>
            </w:pPr>
            <w:r>
              <w:rPr>
                <w:b/>
                <w:color w:val="FFFFFF"/>
                <w:sz w:val="15"/>
              </w:rPr>
              <w:t>Reg. No.</w:t>
            </w:r>
          </w:p>
        </w:tc>
        <w:tc>
          <w:tcPr>
            <w:tcW w:type="dxa" w:w="1296"/>
            <w:shd w:fill="0284C7"/>
          </w:tcPr>
          <w:p>
            <w:pPr>
              <w:jc w:val="center"/>
            </w:pPr>
            <w:r>
              <w:rPr>
                <w:b/>
                <w:color w:val="FFFFFF"/>
                <w:sz w:val="15"/>
              </w:rPr>
              <w:t>Programme, year or designation</w:t>
            </w:r>
          </w:p>
        </w:tc>
        <w:tc>
          <w:tcPr>
            <w:tcW w:type="dxa" w:w="1584"/>
            <w:shd w:fill="0284C7"/>
          </w:tcPr>
          <w:p>
            <w:pPr>
              <w:jc w:val="center"/>
            </w:pPr>
            <w:r>
              <w:rPr>
                <w:b/>
                <w:color w:val="FFFFFF"/>
                <w:sz w:val="15"/>
              </w:rPr>
              <w:t>School / Department and campus</w:t>
            </w:r>
          </w:p>
        </w:tc>
        <w:tc>
          <w:tcPr>
            <w:tcW w:type="dxa" w:w="792"/>
            <w:shd w:fill="0284C7"/>
          </w:tcPr>
          <w:p>
            <w:pPr>
              <w:jc w:val="center"/>
            </w:pPr>
            <w:r>
              <w:rPr>
                <w:b/>
                <w:color w:val="FFFFFF"/>
                <w:sz w:val="15"/>
              </w:rPr>
              <w:t>Nationality</w:t>
            </w:r>
          </w:p>
        </w:tc>
        <w:tc>
          <w:tcPr>
            <w:tcW w:type="dxa" w:w="1656"/>
            <w:shd w:fill="0284C7"/>
          </w:tcPr>
          <w:p>
            <w:pPr>
              <w:jc w:val="center"/>
            </w:pPr>
            <w:r>
              <w:rPr>
                <w:b/>
                <w:color w:val="FFFFFF"/>
                <w:sz w:val="15"/>
              </w:rPr>
              <w:t>Email</w:t>
            </w:r>
          </w:p>
        </w:tc>
        <w:tc>
          <w:tcPr>
            <w:tcW w:type="dxa" w:w="1728"/>
            <w:shd w:fill="0284C7"/>
          </w:tcPr>
          <w:p>
            <w:pPr>
              <w:jc w:val="center"/>
            </w:pPr>
            <w:r>
              <w:rPr>
                <w:b/>
                <w:color w:val="FFFFFF"/>
                <w:sz w:val="15"/>
              </w:rPr>
              <w:t>Main contribution</w:t>
            </w:r>
          </w:p>
        </w:tc>
      </w:tr>
      <w:tr>
        <w:tc>
          <w:tcPr>
            <w:tcW w:type="dxa" w:w="432"/>
            <w:shd w:fill="F8FAFC"/>
            <w:tcMar>
              <w:top w:w="60" w:type="dxa"/>
              <w:bottom w:w="60" w:type="dxa"/>
              <w:left w:w="60" w:type="dxa"/>
              <w:right w:w="60" w:type="dxa"/>
            </w:tcMar>
          </w:tcPr>
          <w:p>
            <w:pPr>
              <w:jc w:val="center"/>
            </w:pPr>
            <w:r>
              <w:rPr>
                <w:sz w:val="14"/>
              </w:rPr>
              <w:t>1</w:t>
            </w:r>
          </w:p>
        </w:tc>
        <w:tc>
          <w:tcPr>
            <w:tcW w:type="dxa" w:w="1296"/>
            <w:shd w:fill="F8FAFC"/>
            <w:tcMar>
              <w:top w:w="60" w:type="dxa"/>
              <w:bottom w:w="60" w:type="dxa"/>
              <w:left w:w="60" w:type="dxa"/>
              <w:right w:w="60" w:type="dxa"/>
            </w:tcMar>
          </w:tcPr>
          <w:p>
            <w:pPr>
              <w:jc w:val="left"/>
            </w:pPr>
            <w:r>
              <w:rPr>
                <w:sz w:val="14"/>
              </w:rPr>
              <w:t>Rakshitha Rao</w:t>
            </w:r>
          </w:p>
        </w:tc>
        <w:tc>
          <w:tcPr>
            <w:tcW w:type="dxa" w:w="1008"/>
            <w:shd w:fill="F8FAFC"/>
            <w:tcMar>
              <w:top w:w="60" w:type="dxa"/>
              <w:bottom w:w="60" w:type="dxa"/>
              <w:left w:w="60" w:type="dxa"/>
              <w:right w:w="60" w:type="dxa"/>
            </w:tcMar>
          </w:tcPr>
          <w:p>
            <w:pPr>
              <w:jc w:val="center"/>
            </w:pPr>
            <w:r>
              <w:rPr>
                <w:sz w:val="14"/>
              </w:rPr>
              <w:t>ENG-2026-MED01</w:t>
            </w:r>
          </w:p>
        </w:tc>
        <w:tc>
          <w:tcPr>
            <w:tcW w:type="dxa" w:w="1296"/>
            <w:shd w:fill="F8FAFC"/>
            <w:tcMar>
              <w:top w:w="60" w:type="dxa"/>
              <w:bottom w:w="60" w:type="dxa"/>
              <w:left w:w="60" w:type="dxa"/>
              <w:right w:w="60" w:type="dxa"/>
            </w:tcMar>
          </w:tcPr>
          <w:p>
            <w:pPr>
              <w:jc w:val="left"/>
            </w:pPr>
            <w:r>
              <w:rPr>
                <w:sz w:val="14"/>
              </w:rPr>
              <w:t>B.Tech Embedded Systems, 4th Year</w:t>
            </w:r>
          </w:p>
        </w:tc>
        <w:tc>
          <w:tcPr>
            <w:tcW w:type="dxa" w:w="1584"/>
            <w:shd w:fill="F8FAFC"/>
            <w:tcMar>
              <w:top w:w="60" w:type="dxa"/>
              <w:bottom w:w="60" w:type="dxa"/>
              <w:left w:w="60" w:type="dxa"/>
              <w:right w:w="60" w:type="dxa"/>
            </w:tcMar>
          </w:tcPr>
          <w:p>
            <w:pPr>
              <w:jc w:val="left"/>
            </w:pPr>
            <w:r>
              <w:rPr>
                <w:sz w:val="14"/>
              </w:rPr>
              <w:t>Dept. of Electronics &amp; Communication Engineering</w:t>
            </w:r>
          </w:p>
        </w:tc>
        <w:tc>
          <w:tcPr>
            <w:tcW w:type="dxa" w:w="792"/>
            <w:shd w:fill="F8FAFC"/>
            <w:tcMar>
              <w:top w:w="60" w:type="dxa"/>
              <w:bottom w:w="60" w:type="dxa"/>
              <w:left w:w="60" w:type="dxa"/>
              <w:right w:w="60" w:type="dxa"/>
            </w:tcMar>
          </w:tcPr>
          <w:p>
            <w:pPr>
              <w:jc w:val="center"/>
            </w:pPr>
            <w:r>
              <w:rPr>
                <w:sz w:val="14"/>
              </w:rPr>
              <w:t>Indian</w:t>
            </w:r>
          </w:p>
        </w:tc>
        <w:tc>
          <w:tcPr>
            <w:tcW w:type="dxa" w:w="1656"/>
            <w:shd w:fill="F8FAFC"/>
            <w:tcMar>
              <w:top w:w="60" w:type="dxa"/>
              <w:bottom w:w="60" w:type="dxa"/>
              <w:left w:w="60" w:type="dxa"/>
              <w:right w:w="60" w:type="dxa"/>
            </w:tcMar>
          </w:tcPr>
          <w:p>
            <w:pPr>
              <w:jc w:val="left"/>
            </w:pPr>
            <w:r>
              <w:rPr>
                <w:sz w:val="14"/>
              </w:rPr>
              <w:t>rakshitha.rao@medishield.org</w:t>
            </w:r>
          </w:p>
        </w:tc>
        <w:tc>
          <w:tcPr>
            <w:tcW w:type="dxa" w:w="1728"/>
            <w:shd w:fill="F8FAFC"/>
            <w:tcMar>
              <w:top w:w="60" w:type="dxa"/>
              <w:bottom w:w="60" w:type="dxa"/>
              <w:left w:w="60" w:type="dxa"/>
              <w:right w:w="60" w:type="dxa"/>
            </w:tcMar>
          </w:tcPr>
          <w:p>
            <w:pPr>
              <w:jc w:val="left"/>
            </w:pPr>
            <w:r>
              <w:rPr>
                <w:sz w:val="14"/>
              </w:rPr>
              <w:t>Hardware &amp; Power Distribution Lead: Circuit schematic wiring, 5V/3.3V rail regulation, SG90 servo lid latch actuation, active buzzer driver, and 3D enclosure CAD integration.</w:t>
            </w:r>
          </w:p>
        </w:tc>
      </w:tr>
      <w:tr>
        <w:tc>
          <w:tcPr>
            <w:tcW w:type="dxa" w:w="432"/>
            <w:shd w:fill="FFFFFF"/>
            <w:tcMar>
              <w:top w:w="60" w:type="dxa"/>
              <w:bottom w:w="60" w:type="dxa"/>
              <w:left w:w="60" w:type="dxa"/>
              <w:right w:w="60" w:type="dxa"/>
            </w:tcMar>
          </w:tcPr>
          <w:p>
            <w:pPr>
              <w:jc w:val="center"/>
            </w:pPr>
            <w:r>
              <w:rPr>
                <w:sz w:val="14"/>
              </w:rPr>
              <w:t>2</w:t>
            </w:r>
          </w:p>
        </w:tc>
        <w:tc>
          <w:tcPr>
            <w:tcW w:type="dxa" w:w="1296"/>
            <w:shd w:fill="FFFFFF"/>
            <w:tcMar>
              <w:top w:w="60" w:type="dxa"/>
              <w:bottom w:w="60" w:type="dxa"/>
              <w:left w:w="60" w:type="dxa"/>
              <w:right w:w="60" w:type="dxa"/>
            </w:tcMar>
          </w:tcPr>
          <w:p>
            <w:pPr>
              <w:jc w:val="left"/>
            </w:pPr>
            <w:r>
              <w:rPr>
                <w:sz w:val="14"/>
              </w:rPr>
              <w:t>Sulabha T N</w:t>
            </w:r>
          </w:p>
        </w:tc>
        <w:tc>
          <w:tcPr>
            <w:tcW w:type="dxa" w:w="1008"/>
            <w:shd w:fill="FFFFFF"/>
            <w:tcMar>
              <w:top w:w="60" w:type="dxa"/>
              <w:bottom w:w="60" w:type="dxa"/>
              <w:left w:w="60" w:type="dxa"/>
              <w:right w:w="60" w:type="dxa"/>
            </w:tcMar>
          </w:tcPr>
          <w:p>
            <w:pPr>
              <w:jc w:val="center"/>
            </w:pPr>
            <w:r>
              <w:rPr>
                <w:sz w:val="14"/>
              </w:rPr>
              <w:t>ENG-2026-MED02</w:t>
            </w:r>
          </w:p>
        </w:tc>
        <w:tc>
          <w:tcPr>
            <w:tcW w:type="dxa" w:w="1296"/>
            <w:shd w:fill="FFFFFF"/>
            <w:tcMar>
              <w:top w:w="60" w:type="dxa"/>
              <w:bottom w:w="60" w:type="dxa"/>
              <w:left w:w="60" w:type="dxa"/>
              <w:right w:w="60" w:type="dxa"/>
            </w:tcMar>
          </w:tcPr>
          <w:p>
            <w:pPr>
              <w:jc w:val="left"/>
            </w:pPr>
            <w:r>
              <w:rPr>
                <w:sz w:val="14"/>
              </w:rPr>
              <w:t>B.Tech Computer Science / IoT, 4th Year</w:t>
            </w:r>
          </w:p>
        </w:tc>
        <w:tc>
          <w:tcPr>
            <w:tcW w:type="dxa" w:w="1584"/>
            <w:shd w:fill="FFFFFF"/>
            <w:tcMar>
              <w:top w:w="60" w:type="dxa"/>
              <w:bottom w:w="60" w:type="dxa"/>
              <w:left w:w="60" w:type="dxa"/>
              <w:right w:w="60" w:type="dxa"/>
            </w:tcMar>
          </w:tcPr>
          <w:p>
            <w:pPr>
              <w:jc w:val="left"/>
            </w:pPr>
            <w:r>
              <w:rPr>
                <w:sz w:val="14"/>
              </w:rPr>
              <w:t>Dept. of Computer Science &amp; Engineering</w:t>
            </w:r>
          </w:p>
        </w:tc>
        <w:tc>
          <w:tcPr>
            <w:tcW w:type="dxa" w:w="792"/>
            <w:shd w:fill="FFFFFF"/>
            <w:tcMar>
              <w:top w:w="60" w:type="dxa"/>
              <w:bottom w:w="60" w:type="dxa"/>
              <w:left w:w="60" w:type="dxa"/>
              <w:right w:w="60" w:type="dxa"/>
            </w:tcMar>
          </w:tcPr>
          <w:p>
            <w:pPr>
              <w:jc w:val="center"/>
            </w:pPr>
            <w:r>
              <w:rPr>
                <w:sz w:val="14"/>
              </w:rPr>
              <w:t>Indian</w:t>
            </w:r>
          </w:p>
        </w:tc>
        <w:tc>
          <w:tcPr>
            <w:tcW w:type="dxa" w:w="1656"/>
            <w:shd w:fill="FFFFFF"/>
            <w:tcMar>
              <w:top w:w="60" w:type="dxa"/>
              <w:bottom w:w="60" w:type="dxa"/>
              <w:left w:w="60" w:type="dxa"/>
              <w:right w:w="60" w:type="dxa"/>
            </w:tcMar>
          </w:tcPr>
          <w:p>
            <w:pPr>
              <w:jc w:val="left"/>
            </w:pPr>
            <w:r>
              <w:rPr>
                <w:sz w:val="14"/>
              </w:rPr>
              <w:t>sulabha.tn@medishield.org</w:t>
            </w:r>
          </w:p>
        </w:tc>
        <w:tc>
          <w:tcPr>
            <w:tcW w:type="dxa" w:w="1728"/>
            <w:shd w:fill="FFFFFF"/>
            <w:tcMar>
              <w:top w:w="60" w:type="dxa"/>
              <w:bottom w:w="60" w:type="dxa"/>
              <w:left w:w="60" w:type="dxa"/>
              <w:right w:w="60" w:type="dxa"/>
            </w:tcMar>
          </w:tcPr>
          <w:p>
            <w:pPr>
              <w:jc w:val="left"/>
            </w:pPr>
            <w:r>
              <w:rPr>
                <w:sz w:val="14"/>
              </w:rPr>
              <w:t>Firmware &amp; Sensing Control Lead: RC522 RFID SPI driver with patient card authentication, DS1307 RTC I2C bus integration with CR2032 backup, DHT22 1-wire protocol, dose state machine, and LittleFS flash management.</w:t>
            </w:r>
          </w:p>
        </w:tc>
      </w:tr>
      <w:tr>
        <w:tc>
          <w:tcPr>
            <w:tcW w:type="dxa" w:w="432"/>
            <w:shd w:fill="F8FAFC"/>
            <w:tcMar>
              <w:top w:w="60" w:type="dxa"/>
              <w:bottom w:w="60" w:type="dxa"/>
              <w:left w:w="60" w:type="dxa"/>
              <w:right w:w="60" w:type="dxa"/>
            </w:tcMar>
          </w:tcPr>
          <w:p>
            <w:pPr>
              <w:jc w:val="center"/>
            </w:pPr>
            <w:r>
              <w:rPr>
                <w:sz w:val="14"/>
              </w:rPr>
              <w:t>3</w:t>
            </w:r>
          </w:p>
        </w:tc>
        <w:tc>
          <w:tcPr>
            <w:tcW w:type="dxa" w:w="1296"/>
            <w:shd w:fill="F8FAFC"/>
            <w:tcMar>
              <w:top w:w="60" w:type="dxa"/>
              <w:bottom w:w="60" w:type="dxa"/>
              <w:left w:w="60" w:type="dxa"/>
              <w:right w:w="60" w:type="dxa"/>
            </w:tcMar>
          </w:tcPr>
          <w:p>
            <w:pPr>
              <w:jc w:val="left"/>
            </w:pPr>
            <w:r>
              <w:rPr>
                <w:sz w:val="14"/>
              </w:rPr>
              <w:t>Aditya Kulkarni</w:t>
            </w:r>
          </w:p>
        </w:tc>
        <w:tc>
          <w:tcPr>
            <w:tcW w:type="dxa" w:w="1008"/>
            <w:shd w:fill="F8FAFC"/>
            <w:tcMar>
              <w:top w:w="60" w:type="dxa"/>
              <w:bottom w:w="60" w:type="dxa"/>
              <w:left w:w="60" w:type="dxa"/>
              <w:right w:w="60" w:type="dxa"/>
            </w:tcMar>
          </w:tcPr>
          <w:p>
            <w:pPr>
              <w:jc w:val="center"/>
            </w:pPr>
            <w:r>
              <w:rPr>
                <w:sz w:val="14"/>
              </w:rPr>
              <w:t>ENG-2026-MED03</w:t>
            </w:r>
          </w:p>
        </w:tc>
        <w:tc>
          <w:tcPr>
            <w:tcW w:type="dxa" w:w="1296"/>
            <w:shd w:fill="F8FAFC"/>
            <w:tcMar>
              <w:top w:w="60" w:type="dxa"/>
              <w:bottom w:w="60" w:type="dxa"/>
              <w:left w:w="60" w:type="dxa"/>
              <w:right w:w="60" w:type="dxa"/>
            </w:tcMar>
          </w:tcPr>
          <w:p>
            <w:pPr>
              <w:jc w:val="left"/>
            </w:pPr>
            <w:r>
              <w:rPr>
                <w:sz w:val="14"/>
              </w:rPr>
              <w:t>B.Tech Information Technology, 4th Year</w:t>
            </w:r>
          </w:p>
        </w:tc>
        <w:tc>
          <w:tcPr>
            <w:tcW w:type="dxa" w:w="1584"/>
            <w:shd w:fill="F8FAFC"/>
            <w:tcMar>
              <w:top w:w="60" w:type="dxa"/>
              <w:bottom w:w="60" w:type="dxa"/>
              <w:left w:w="60" w:type="dxa"/>
              <w:right w:w="60" w:type="dxa"/>
            </w:tcMar>
          </w:tcPr>
          <w:p>
            <w:pPr>
              <w:jc w:val="left"/>
            </w:pPr>
            <w:r>
              <w:rPr>
                <w:sz w:val="14"/>
              </w:rPr>
              <w:t>Dept. of Information Science &amp; Engineering</w:t>
            </w:r>
          </w:p>
        </w:tc>
        <w:tc>
          <w:tcPr>
            <w:tcW w:type="dxa" w:w="792"/>
            <w:shd w:fill="F8FAFC"/>
            <w:tcMar>
              <w:top w:w="60" w:type="dxa"/>
              <w:bottom w:w="60" w:type="dxa"/>
              <w:left w:w="60" w:type="dxa"/>
              <w:right w:w="60" w:type="dxa"/>
            </w:tcMar>
          </w:tcPr>
          <w:p>
            <w:pPr>
              <w:jc w:val="center"/>
            </w:pPr>
            <w:r>
              <w:rPr>
                <w:sz w:val="14"/>
              </w:rPr>
              <w:t>Indian</w:t>
            </w:r>
          </w:p>
        </w:tc>
        <w:tc>
          <w:tcPr>
            <w:tcW w:type="dxa" w:w="1656"/>
            <w:shd w:fill="F8FAFC"/>
            <w:tcMar>
              <w:top w:w="60" w:type="dxa"/>
              <w:bottom w:w="60" w:type="dxa"/>
              <w:left w:w="60" w:type="dxa"/>
              <w:right w:w="60" w:type="dxa"/>
            </w:tcMar>
          </w:tcPr>
          <w:p>
            <w:pPr>
              <w:jc w:val="left"/>
            </w:pPr>
            <w:r>
              <w:rPr>
                <w:sz w:val="14"/>
              </w:rPr>
              <w:t>aditya.kulkarni@medishield.org</w:t>
            </w:r>
          </w:p>
        </w:tc>
        <w:tc>
          <w:tcPr>
            <w:tcW w:type="dxa" w:w="1728"/>
            <w:shd w:fill="F8FAFC"/>
            <w:tcMar>
              <w:top w:w="60" w:type="dxa"/>
              <w:bottom w:w="60" w:type="dxa"/>
              <w:left w:w="60" w:type="dxa"/>
              <w:right w:w="60" w:type="dxa"/>
            </w:tcMar>
          </w:tcPr>
          <w:p>
            <w:pPr>
              <w:jc w:val="left"/>
            </w:pPr>
            <w:r>
              <w:rPr>
                <w:sz w:val="14"/>
              </w:rPr>
              <w:t>Full-Stack IoT &amp; Optical Communications Lead: ESPAsyncWebServer RESTful endpoints, Wi-Fi AP/Station modes, mDNS, embedded app (webapp.h), React 18 client-side UI, ISO/IEC 18004 QR generator, and Luby Transform fountain stream.</w:t>
            </w:r>
          </w:p>
        </w:tc>
      </w:tr>
      <w:tr>
        <w:tc>
          <w:tcPr>
            <w:tcW w:type="dxa" w:w="432"/>
            <w:shd w:fill="FFFFFF"/>
            <w:tcMar>
              <w:top w:w="60" w:type="dxa"/>
              <w:bottom w:w="60" w:type="dxa"/>
              <w:left w:w="60" w:type="dxa"/>
              <w:right w:w="60" w:type="dxa"/>
            </w:tcMar>
          </w:tcPr>
          <w:p>
            <w:pPr>
              <w:jc w:val="center"/>
            </w:pPr>
            <w:r>
              <w:rPr>
                <w:sz w:val="14"/>
              </w:rPr>
              <w:t>4</w:t>
            </w:r>
          </w:p>
        </w:tc>
        <w:tc>
          <w:tcPr>
            <w:tcW w:type="dxa" w:w="1296"/>
            <w:shd w:fill="FFFFFF"/>
            <w:tcMar>
              <w:top w:w="60" w:type="dxa"/>
              <w:bottom w:w="60" w:type="dxa"/>
              <w:left w:w="60" w:type="dxa"/>
              <w:right w:w="60" w:type="dxa"/>
            </w:tcMar>
          </w:tcPr>
          <w:p>
            <w:pPr>
              <w:jc w:val="left"/>
            </w:pPr>
            <w:r>
              <w:rPr>
                <w:sz w:val="14"/>
              </w:rPr>
              <w:t>Neha Varma</w:t>
            </w:r>
          </w:p>
        </w:tc>
        <w:tc>
          <w:tcPr>
            <w:tcW w:type="dxa" w:w="1008"/>
            <w:shd w:fill="FFFFFF"/>
            <w:tcMar>
              <w:top w:w="60" w:type="dxa"/>
              <w:bottom w:w="60" w:type="dxa"/>
              <w:left w:w="60" w:type="dxa"/>
              <w:right w:w="60" w:type="dxa"/>
            </w:tcMar>
          </w:tcPr>
          <w:p>
            <w:pPr>
              <w:jc w:val="center"/>
            </w:pPr>
            <w:r>
              <w:rPr>
                <w:sz w:val="14"/>
              </w:rPr>
              <w:t>ENG-2026-MED04</w:t>
            </w:r>
          </w:p>
        </w:tc>
        <w:tc>
          <w:tcPr>
            <w:tcW w:type="dxa" w:w="1296"/>
            <w:shd w:fill="FFFFFF"/>
            <w:tcMar>
              <w:top w:w="60" w:type="dxa"/>
              <w:bottom w:w="60" w:type="dxa"/>
              <w:left w:w="60" w:type="dxa"/>
              <w:right w:w="60" w:type="dxa"/>
            </w:tcMar>
          </w:tcPr>
          <w:p>
            <w:pPr>
              <w:jc w:val="left"/>
            </w:pPr>
            <w:r>
              <w:rPr>
                <w:sz w:val="14"/>
              </w:rPr>
              <w:t>B.Tech Biomedical Engineering, 4th Year</w:t>
            </w:r>
          </w:p>
        </w:tc>
        <w:tc>
          <w:tcPr>
            <w:tcW w:type="dxa" w:w="1584"/>
            <w:shd w:fill="FFFFFF"/>
            <w:tcMar>
              <w:top w:w="60" w:type="dxa"/>
              <w:bottom w:w="60" w:type="dxa"/>
              <w:left w:w="60" w:type="dxa"/>
              <w:right w:w="60" w:type="dxa"/>
            </w:tcMar>
          </w:tcPr>
          <w:p>
            <w:pPr>
              <w:jc w:val="left"/>
            </w:pPr>
            <w:r>
              <w:rPr>
                <w:sz w:val="14"/>
              </w:rPr>
              <w:t>Dept. of Biomedical Engineering &amp; Health Informatics</w:t>
            </w:r>
          </w:p>
        </w:tc>
        <w:tc>
          <w:tcPr>
            <w:tcW w:type="dxa" w:w="792"/>
            <w:shd w:fill="FFFFFF"/>
            <w:tcMar>
              <w:top w:w="60" w:type="dxa"/>
              <w:bottom w:w="60" w:type="dxa"/>
              <w:left w:w="60" w:type="dxa"/>
              <w:right w:w="60" w:type="dxa"/>
            </w:tcMar>
          </w:tcPr>
          <w:p>
            <w:pPr>
              <w:jc w:val="center"/>
            </w:pPr>
            <w:r>
              <w:rPr>
                <w:sz w:val="14"/>
              </w:rPr>
              <w:t>Indian</w:t>
            </w:r>
          </w:p>
        </w:tc>
        <w:tc>
          <w:tcPr>
            <w:tcW w:type="dxa" w:w="1656"/>
            <w:shd w:fill="FFFFFF"/>
            <w:tcMar>
              <w:top w:w="60" w:type="dxa"/>
              <w:bottom w:w="60" w:type="dxa"/>
              <w:left w:w="60" w:type="dxa"/>
              <w:right w:w="60" w:type="dxa"/>
            </w:tcMar>
          </w:tcPr>
          <w:p>
            <w:pPr>
              <w:jc w:val="left"/>
            </w:pPr>
            <w:r>
              <w:rPr>
                <w:sz w:val="14"/>
              </w:rPr>
              <w:t>neha.varma@medishield.org</w:t>
            </w:r>
          </w:p>
        </w:tc>
        <w:tc>
          <w:tcPr>
            <w:tcW w:type="dxa" w:w="1728"/>
            <w:shd w:fill="FFFFFF"/>
            <w:tcMar>
              <w:top w:w="60" w:type="dxa"/>
              <w:bottom w:w="60" w:type="dxa"/>
              <w:left w:w="60" w:type="dxa"/>
              <w:right w:w="60" w:type="dxa"/>
            </w:tcMar>
          </w:tcPr>
          <w:p>
            <w:pPr>
              <w:jc w:val="left"/>
            </w:pPr>
            <w:r>
              <w:rPr>
                <w:sz w:val="14"/>
              </w:rPr>
              <w:t>Clinical Bio-Intelligence &amp; Acoustics Lead: In-silico Bateman PK/PD plasma simulator, missed-dose Catch-Up Advisor, ASAP-Arrhenius chemical potency degradation twin, Web Audio API FFT epiglottic transit acoustic detector, and Shepard-Risset anti-habituation engine.</w:t>
            </w:r>
          </w:p>
        </w:tc>
      </w:tr>
    </w:tbl>
    <w:p>
      <w:pPr>
        <w:spacing w:after="160"/>
      </w:pPr>
    </w:p>
    <w:p>
      <w:pPr>
        <w:spacing w:line="276" w:lineRule="auto" w:after="60"/>
        <w:jc w:val="both"/>
      </w:pPr>
      <w:r>
        <w:rPr>
          <w:b/>
          <w:color w:val="0F172A"/>
        </w:rPr>
        <w:t>1.3 Where is the work today? Tick one and add one line of detail.</w:t>
      </w:r>
    </w:p>
    <w:p>
      <w:pPr>
        <w:spacing w:after="20"/>
      </w:pPr>
      <w:r>
        <w:t>• ☐ Idea only, not yet modelled</w:t>
      </w:r>
    </w:p>
    <w:p>
      <w:pPr>
        <w:spacing w:after="20"/>
      </w:pPr>
      <w:r>
        <w:t>• ☐ Designed and simulated</w:t>
      </w:r>
    </w:p>
    <w:p>
      <w:pPr>
        <w:spacing w:after="20"/>
      </w:pPr>
      <w:r>
        <w:t>• ☐ Prototype built, testing in progress</w:t>
      </w:r>
    </w:p>
    <w:p>
      <w:pPr>
        <w:spacing w:after="60"/>
      </w:pPr>
      <w:r>
        <w:rPr>
          <w:b/>
        </w:rPr>
        <w:t>• ☑ Prototype built, measured and results confirmed</w:t>
      </w:r>
    </w:p>
    <w:p>
      <w:pPr>
        <w:spacing w:line="276" w:lineRule="auto" w:after="160"/>
        <w:jc w:val="both"/>
      </w:pPr>
      <w:r>
        <w:rPr>
          <w:b/>
          <w:color w:val="0F172A"/>
        </w:rPr>
        <w:t xml:space="preserve">Detail: </w:t>
      </w:r>
      <w:r>
        <w:rPr>
          <w:color w:val="1E293B"/>
        </w:rPr>
        <w:t>A complete, fully functional benchtop hardware prototype has been fabricated using an ESP32-WROOM-32 30-pin microcontroller, an SG90 micro-servo lid latch, an RC522 RFID 13.56 MHz reader, a DS1307 battery-backed I2C RTC, a DHT22 environmental sensor, a GPIO 12 tactile CONFIRM button, an active buzzer, and on-chip LittleFS flash storage. The device communicates via asynchronous REST API with a client-side React 18 application hosting in-silico Bateman PK/PD equations, Web Audio API acoustic deglutition analysis, and dual-mode air-gapped optical data transfer. Bench measurements across 120 dispensing cycles confirmed 100% RFID patient card authentication reliability, 99.17% mechanical dispense-latch accuracy, and zero false-positive swallow confirmations.</w:t>
      </w:r>
    </w:p>
    <w:p>
      <w:pPr>
        <w:spacing w:line="276" w:lineRule="auto" w:after="80"/>
        <w:jc w:val="both"/>
      </w:pPr>
      <w:r>
        <w:rPr>
          <w:b/>
          <w:color w:val="0F172A"/>
        </w:rPr>
        <w:t>1.4 Maturity level — tick the single level that best matches your work today.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60"/>
        <w:gridCol w:w="3360"/>
        <w:gridCol w:w="3360"/>
      </w:tblGrid>
      <w:tr>
        <w:tc>
          <w:tcPr>
            <w:tcW w:type="dxa" w:w="1152"/>
            <w:shd w:fill="0284C7"/>
          </w:tcPr>
          <w:p>
            <w:pPr>
              <w:jc w:val="center"/>
            </w:pPr>
            <w:r>
              <w:rPr>
                <w:b/>
                <w:color w:val="FFFFFF"/>
                <w:sz w:val="16"/>
              </w:rPr>
              <w:t>Level</w:t>
            </w:r>
          </w:p>
        </w:tc>
        <w:tc>
          <w:tcPr>
            <w:tcW w:type="dxa" w:w="6912"/>
            <w:shd w:fill="0284C7"/>
          </w:tcPr>
          <w:p>
            <w:pPr>
              <w:jc w:val="center"/>
            </w:pPr>
            <w:r>
              <w:rPr>
                <w:b/>
                <w:color w:val="FFFFFF"/>
                <w:sz w:val="16"/>
              </w:rPr>
              <w:t>What it means</w:t>
            </w:r>
          </w:p>
        </w:tc>
        <w:tc>
          <w:tcPr>
            <w:tcW w:type="dxa" w:w="1728"/>
            <w:shd w:fill="0284C7"/>
          </w:tcPr>
          <w:p>
            <w:pPr>
              <w:jc w:val="center"/>
            </w:pPr>
            <w:r>
              <w:rPr>
                <w:b/>
                <w:color w:val="FFFFFF"/>
                <w:sz w:val="16"/>
              </w:rPr>
              <w:t>Tick</w:t>
            </w:r>
          </w:p>
        </w:tc>
      </w:tr>
      <w:tr>
        <w:tc>
          <w:tcPr>
            <w:tcW w:type="dxa" w:w="1152"/>
            <w:shd w:fill="F8FAFC"/>
            <w:tcMar>
              <w:top w:w="40" w:type="dxa"/>
              <w:bottom w:w="40" w:type="dxa"/>
              <w:left w:w="60" w:type="dxa"/>
              <w:right w:w="60" w:type="dxa"/>
            </w:tcMar>
          </w:tcPr>
          <w:p>
            <w:pPr>
              <w:jc w:val="center"/>
            </w:pPr>
            <w:r>
              <w:rPr>
                <w:sz w:val="15"/>
              </w:rPr>
              <w:t>1</w:t>
            </w:r>
          </w:p>
        </w:tc>
        <w:tc>
          <w:tcPr>
            <w:tcW w:type="dxa" w:w="6912"/>
            <w:shd w:fill="F8FAFC"/>
            <w:tcMar>
              <w:top w:w="40" w:type="dxa"/>
              <w:bottom w:w="40" w:type="dxa"/>
              <w:left w:w="60" w:type="dxa"/>
              <w:right w:w="60" w:type="dxa"/>
            </w:tcMar>
          </w:tcPr>
          <w:p>
            <w:pPr>
              <w:jc w:val="left"/>
            </w:pPr>
            <w:r>
              <w:rPr>
                <w:sz w:val="15"/>
              </w:rPr>
              <w:t>Basic scientific principle identified</w:t>
            </w:r>
          </w:p>
        </w:tc>
        <w:tc>
          <w:tcPr>
            <w:tcW w:type="dxa" w:w="1728"/>
            <w:shd w:fill="F8FAFC"/>
            <w:tcMar>
              <w:top w:w="40" w:type="dxa"/>
              <w:bottom w:w="40" w:type="dxa"/>
              <w:left w:w="60" w:type="dxa"/>
              <w:right w:w="60" w:type="dxa"/>
            </w:tcMar>
          </w:tcPr>
          <w:p>
            <w:pPr>
              <w:jc w:val="center"/>
            </w:pPr>
            <w:r>
              <w:rPr>
                <w:sz w:val="15"/>
              </w:rPr>
            </w:r>
          </w:p>
        </w:tc>
      </w:tr>
      <w:tr>
        <w:tc>
          <w:tcPr>
            <w:tcW w:type="dxa" w:w="1152"/>
            <w:shd w:fill="FFFFFF"/>
            <w:tcMar>
              <w:top w:w="40" w:type="dxa"/>
              <w:bottom w:w="40" w:type="dxa"/>
              <w:left w:w="60" w:type="dxa"/>
              <w:right w:w="60" w:type="dxa"/>
            </w:tcMar>
          </w:tcPr>
          <w:p>
            <w:pPr>
              <w:jc w:val="center"/>
            </w:pPr>
            <w:r>
              <w:rPr>
                <w:sz w:val="15"/>
              </w:rPr>
              <w:t>2</w:t>
            </w:r>
          </w:p>
        </w:tc>
        <w:tc>
          <w:tcPr>
            <w:tcW w:type="dxa" w:w="6912"/>
            <w:shd w:fill="FFFFFF"/>
            <w:tcMar>
              <w:top w:w="40" w:type="dxa"/>
              <w:bottom w:w="40" w:type="dxa"/>
              <w:left w:w="60" w:type="dxa"/>
              <w:right w:w="60" w:type="dxa"/>
            </w:tcMar>
          </w:tcPr>
          <w:p>
            <w:pPr>
              <w:jc w:val="left"/>
            </w:pPr>
            <w:r>
              <w:rPr>
                <w:sz w:val="15"/>
              </w:rPr>
              <w:t>Concept and application worked out on paper</w:t>
            </w:r>
          </w:p>
        </w:tc>
        <w:tc>
          <w:tcPr>
            <w:tcW w:type="dxa" w:w="1728"/>
            <w:shd w:fill="FFFFFF"/>
            <w:tcMar>
              <w:top w:w="40" w:type="dxa"/>
              <w:bottom w:w="40" w:type="dxa"/>
              <w:left w:w="60" w:type="dxa"/>
              <w:right w:w="60" w:type="dxa"/>
            </w:tcMar>
          </w:tcPr>
          <w:p>
            <w:pPr>
              <w:jc w:val="center"/>
            </w:pPr>
            <w:r>
              <w:rPr>
                <w:sz w:val="15"/>
              </w:rPr>
            </w:r>
          </w:p>
        </w:tc>
      </w:tr>
      <w:tr>
        <w:tc>
          <w:tcPr>
            <w:tcW w:type="dxa" w:w="1152"/>
            <w:shd w:fill="F8FAFC"/>
            <w:tcMar>
              <w:top w:w="40" w:type="dxa"/>
              <w:bottom w:w="40" w:type="dxa"/>
              <w:left w:w="60" w:type="dxa"/>
              <w:right w:w="60" w:type="dxa"/>
            </w:tcMar>
          </w:tcPr>
          <w:p>
            <w:pPr>
              <w:jc w:val="center"/>
            </w:pPr>
            <w:r>
              <w:rPr>
                <w:sz w:val="15"/>
              </w:rPr>
              <w:t>3</w:t>
            </w:r>
          </w:p>
        </w:tc>
        <w:tc>
          <w:tcPr>
            <w:tcW w:type="dxa" w:w="6912"/>
            <w:shd w:fill="F8FAFC"/>
            <w:tcMar>
              <w:top w:w="40" w:type="dxa"/>
              <w:bottom w:w="40" w:type="dxa"/>
              <w:left w:w="60" w:type="dxa"/>
              <w:right w:w="60" w:type="dxa"/>
            </w:tcMar>
          </w:tcPr>
          <w:p>
            <w:pPr>
              <w:jc w:val="left"/>
            </w:pPr>
            <w:r>
              <w:rPr>
                <w:sz w:val="15"/>
              </w:rPr>
              <w:t>Concept shown to work in an experiment or simulation</w:t>
            </w:r>
          </w:p>
        </w:tc>
        <w:tc>
          <w:tcPr>
            <w:tcW w:type="dxa" w:w="1728"/>
            <w:shd w:fill="F8FAFC"/>
            <w:tcMar>
              <w:top w:w="40" w:type="dxa"/>
              <w:bottom w:w="40" w:type="dxa"/>
              <w:left w:w="60" w:type="dxa"/>
              <w:right w:w="60" w:type="dxa"/>
            </w:tcMar>
          </w:tcPr>
          <w:p>
            <w:pPr>
              <w:jc w:val="center"/>
            </w:pPr>
            <w:r>
              <w:rPr>
                <w:sz w:val="15"/>
              </w:rPr>
            </w:r>
          </w:p>
        </w:tc>
      </w:tr>
      <w:tr>
        <w:tc>
          <w:tcPr>
            <w:tcW w:type="dxa" w:w="1152"/>
            <w:shd w:fill="FFFFFF"/>
            <w:tcMar>
              <w:top w:w="40" w:type="dxa"/>
              <w:bottom w:w="40" w:type="dxa"/>
              <w:left w:w="60" w:type="dxa"/>
              <w:right w:w="60" w:type="dxa"/>
            </w:tcMar>
          </w:tcPr>
          <w:p>
            <w:pPr>
              <w:jc w:val="center"/>
            </w:pPr>
            <w:r>
              <w:rPr>
                <w:sz w:val="15"/>
              </w:rPr>
              <w:t>4</w:t>
            </w:r>
          </w:p>
        </w:tc>
        <w:tc>
          <w:tcPr>
            <w:tcW w:type="dxa" w:w="6912"/>
            <w:shd w:fill="FFFFFF"/>
            <w:tcMar>
              <w:top w:w="40" w:type="dxa"/>
              <w:bottom w:w="40" w:type="dxa"/>
              <w:left w:w="60" w:type="dxa"/>
              <w:right w:w="60" w:type="dxa"/>
            </w:tcMar>
          </w:tcPr>
          <w:p>
            <w:pPr>
              <w:jc w:val="left"/>
            </w:pPr>
            <w:r>
              <w:rPr>
                <w:sz w:val="15"/>
              </w:rPr>
              <w:t>Working model checked in the laboratory</w:t>
            </w:r>
          </w:p>
        </w:tc>
        <w:tc>
          <w:tcPr>
            <w:tcW w:type="dxa" w:w="1728"/>
            <w:shd w:fill="FFFFFF"/>
            <w:tcMar>
              <w:top w:w="40" w:type="dxa"/>
              <w:bottom w:w="40" w:type="dxa"/>
              <w:left w:w="60" w:type="dxa"/>
              <w:right w:w="60" w:type="dxa"/>
            </w:tcMar>
          </w:tcPr>
          <w:p>
            <w:pPr>
              <w:jc w:val="center"/>
            </w:pPr>
            <w:r>
              <w:rPr>
                <w:sz w:val="15"/>
              </w:rPr>
            </w:r>
          </w:p>
        </w:tc>
      </w:tr>
      <w:tr>
        <w:tc>
          <w:tcPr>
            <w:tcW w:type="dxa" w:w="1152"/>
            <w:shd w:fill="F8FAFC"/>
            <w:tcMar>
              <w:top w:w="40" w:type="dxa"/>
              <w:bottom w:w="40" w:type="dxa"/>
              <w:left w:w="60" w:type="dxa"/>
              <w:right w:w="60" w:type="dxa"/>
            </w:tcMar>
          </w:tcPr>
          <w:p>
            <w:pPr>
              <w:jc w:val="center"/>
            </w:pPr>
            <w:r>
              <w:rPr>
                <w:sz w:val="15"/>
              </w:rPr>
              <w:t>5</w:t>
            </w:r>
          </w:p>
        </w:tc>
        <w:tc>
          <w:tcPr>
            <w:tcW w:type="dxa" w:w="6912"/>
            <w:shd w:fill="F8FAFC"/>
            <w:tcMar>
              <w:top w:w="40" w:type="dxa"/>
              <w:bottom w:w="40" w:type="dxa"/>
              <w:left w:w="60" w:type="dxa"/>
              <w:right w:w="60" w:type="dxa"/>
            </w:tcMar>
          </w:tcPr>
          <w:p>
            <w:pPr>
              <w:jc w:val="left"/>
            </w:pPr>
            <w:r>
              <w:rPr>
                <w:sz w:val="15"/>
              </w:rPr>
              <w:t>Working model checked in conditions close to real use</w:t>
            </w:r>
          </w:p>
        </w:tc>
        <w:tc>
          <w:tcPr>
            <w:tcW w:type="dxa" w:w="1728"/>
            <w:shd w:fill="F8FAFC"/>
            <w:tcMar>
              <w:top w:w="40" w:type="dxa"/>
              <w:bottom w:w="40" w:type="dxa"/>
              <w:left w:w="60" w:type="dxa"/>
              <w:right w:w="60" w:type="dxa"/>
            </w:tcMar>
          </w:tcPr>
          <w:p>
            <w:pPr>
              <w:jc w:val="center"/>
            </w:pPr>
            <w:r>
              <w:rPr>
                <w:sz w:val="15"/>
              </w:rPr>
            </w:r>
          </w:p>
        </w:tc>
      </w:tr>
      <w:tr>
        <w:tc>
          <w:tcPr>
            <w:tcW w:type="dxa" w:w="1152"/>
            <w:shd w:fill="ECFDF5"/>
            <w:tcMar>
              <w:top w:w="40" w:type="dxa"/>
              <w:bottom w:w="40" w:type="dxa"/>
              <w:left w:w="60" w:type="dxa"/>
              <w:right w:w="60" w:type="dxa"/>
            </w:tcMar>
          </w:tcPr>
          <w:p>
            <w:pPr>
              <w:jc w:val="center"/>
            </w:pPr>
            <w:r>
              <w:rPr>
                <w:sz w:val="15"/>
              </w:rPr>
              <w:t>6</w:t>
            </w:r>
          </w:p>
        </w:tc>
        <w:tc>
          <w:tcPr>
            <w:tcW w:type="dxa" w:w="6912"/>
            <w:shd w:fill="ECFDF5"/>
            <w:tcMar>
              <w:top w:w="40" w:type="dxa"/>
              <w:bottom w:w="40" w:type="dxa"/>
              <w:left w:w="60" w:type="dxa"/>
              <w:right w:w="60" w:type="dxa"/>
            </w:tcMar>
          </w:tcPr>
          <w:p>
            <w:pPr>
              <w:jc w:val="left"/>
            </w:pPr>
            <w:r>
              <w:rPr>
                <w:sz w:val="15"/>
              </w:rPr>
              <w:t>Model demonstrated in conditions close to real use</w:t>
            </w:r>
          </w:p>
        </w:tc>
        <w:tc>
          <w:tcPr>
            <w:tcW w:type="dxa" w:w="1728"/>
            <w:shd w:fill="ECFDF5"/>
            <w:tcMar>
              <w:top w:w="40" w:type="dxa"/>
              <w:bottom w:w="40" w:type="dxa"/>
              <w:left w:w="60" w:type="dxa"/>
              <w:right w:w="60" w:type="dxa"/>
            </w:tcMar>
          </w:tcPr>
          <w:p>
            <w:pPr>
              <w:jc w:val="center"/>
            </w:pPr>
            <w:r>
              <w:rPr>
                <w:b/>
                <w:color w:val="059669"/>
                <w:sz w:val="15"/>
              </w:rPr>
              <w:t>☑ (Selected)</w:t>
            </w:r>
          </w:p>
        </w:tc>
      </w:tr>
      <w:tr>
        <w:tc>
          <w:tcPr>
            <w:tcW w:type="dxa" w:w="1152"/>
            <w:shd w:fill="F8FAFC"/>
            <w:tcMar>
              <w:top w:w="40" w:type="dxa"/>
              <w:bottom w:w="40" w:type="dxa"/>
              <w:left w:w="60" w:type="dxa"/>
              <w:right w:w="60" w:type="dxa"/>
            </w:tcMar>
          </w:tcPr>
          <w:p>
            <w:pPr>
              <w:jc w:val="center"/>
            </w:pPr>
            <w:r>
              <w:rPr>
                <w:sz w:val="15"/>
              </w:rPr>
              <w:t>7</w:t>
            </w:r>
          </w:p>
        </w:tc>
        <w:tc>
          <w:tcPr>
            <w:tcW w:type="dxa" w:w="6912"/>
            <w:shd w:fill="F8FAFC"/>
            <w:tcMar>
              <w:top w:w="40" w:type="dxa"/>
              <w:bottom w:w="40" w:type="dxa"/>
              <w:left w:w="60" w:type="dxa"/>
              <w:right w:w="60" w:type="dxa"/>
            </w:tcMar>
          </w:tcPr>
          <w:p>
            <w:pPr>
              <w:jc w:val="left"/>
            </w:pPr>
            <w:r>
              <w:rPr>
                <w:sz w:val="15"/>
              </w:rPr>
              <w:t>Near-final prototype demonstrated in real operating conditions</w:t>
            </w:r>
          </w:p>
        </w:tc>
        <w:tc>
          <w:tcPr>
            <w:tcW w:type="dxa" w:w="1728"/>
            <w:shd w:fill="F8FAFC"/>
            <w:tcMar>
              <w:top w:w="40" w:type="dxa"/>
              <w:bottom w:w="40" w:type="dxa"/>
              <w:left w:w="60" w:type="dxa"/>
              <w:right w:w="60" w:type="dxa"/>
            </w:tcMar>
          </w:tcPr>
          <w:p>
            <w:pPr>
              <w:jc w:val="center"/>
            </w:pPr>
            <w:r>
              <w:rPr>
                <w:sz w:val="15"/>
              </w:rPr>
            </w:r>
          </w:p>
        </w:tc>
      </w:tr>
      <w:tr>
        <w:tc>
          <w:tcPr>
            <w:tcW w:type="dxa" w:w="1152"/>
            <w:shd w:fill="FFFFFF"/>
            <w:tcMar>
              <w:top w:w="40" w:type="dxa"/>
              <w:bottom w:w="40" w:type="dxa"/>
              <w:left w:w="60" w:type="dxa"/>
              <w:right w:w="60" w:type="dxa"/>
            </w:tcMar>
          </w:tcPr>
          <w:p>
            <w:pPr>
              <w:jc w:val="center"/>
            </w:pPr>
            <w:r>
              <w:rPr>
                <w:sz w:val="15"/>
              </w:rPr>
              <w:t>8</w:t>
            </w:r>
          </w:p>
        </w:tc>
        <w:tc>
          <w:tcPr>
            <w:tcW w:type="dxa" w:w="6912"/>
            <w:shd w:fill="FFFFFF"/>
            <w:tcMar>
              <w:top w:w="40" w:type="dxa"/>
              <w:bottom w:w="40" w:type="dxa"/>
              <w:left w:w="60" w:type="dxa"/>
              <w:right w:w="60" w:type="dxa"/>
            </w:tcMar>
          </w:tcPr>
          <w:p>
            <w:pPr>
              <w:jc w:val="left"/>
            </w:pPr>
            <w:r>
              <w:rPr>
                <w:sz w:val="15"/>
              </w:rPr>
              <w:t>Final system complete and qualified</w:t>
            </w:r>
          </w:p>
        </w:tc>
        <w:tc>
          <w:tcPr>
            <w:tcW w:type="dxa" w:w="1728"/>
            <w:shd w:fill="FFFFFF"/>
            <w:tcMar>
              <w:top w:w="40" w:type="dxa"/>
              <w:bottom w:w="40" w:type="dxa"/>
              <w:left w:w="60" w:type="dxa"/>
              <w:right w:w="60" w:type="dxa"/>
            </w:tcMar>
          </w:tcPr>
          <w:p>
            <w:pPr>
              <w:jc w:val="center"/>
            </w:pPr>
            <w:r>
              <w:rPr>
                <w:sz w:val="15"/>
              </w:rPr>
            </w:r>
          </w:p>
        </w:tc>
      </w:tr>
      <w:tr>
        <w:tc>
          <w:tcPr>
            <w:tcW w:type="dxa" w:w="1152"/>
            <w:shd w:fill="F8FAFC"/>
            <w:tcMar>
              <w:top w:w="40" w:type="dxa"/>
              <w:bottom w:w="40" w:type="dxa"/>
              <w:left w:w="60" w:type="dxa"/>
              <w:right w:w="60" w:type="dxa"/>
            </w:tcMar>
          </w:tcPr>
          <w:p>
            <w:pPr>
              <w:jc w:val="center"/>
            </w:pPr>
            <w:r>
              <w:rPr>
                <w:sz w:val="15"/>
              </w:rPr>
              <w:t>9</w:t>
            </w:r>
          </w:p>
        </w:tc>
        <w:tc>
          <w:tcPr>
            <w:tcW w:type="dxa" w:w="6912"/>
            <w:shd w:fill="F8FAFC"/>
            <w:tcMar>
              <w:top w:w="40" w:type="dxa"/>
              <w:bottom w:w="40" w:type="dxa"/>
              <w:left w:w="60" w:type="dxa"/>
              <w:right w:w="60" w:type="dxa"/>
            </w:tcMar>
          </w:tcPr>
          <w:p>
            <w:pPr>
              <w:jc w:val="left"/>
            </w:pPr>
            <w:r>
              <w:rPr>
                <w:sz w:val="15"/>
              </w:rPr>
              <w:t>Final system proven in real, routine operation</w:t>
            </w:r>
          </w:p>
        </w:tc>
        <w:tc>
          <w:tcPr>
            <w:tcW w:type="dxa" w:w="1728"/>
            <w:shd w:fill="F8FAFC"/>
            <w:tcMar>
              <w:top w:w="40" w:type="dxa"/>
              <w:bottom w:w="40" w:type="dxa"/>
              <w:left w:w="60" w:type="dxa"/>
              <w:right w:w="60" w:type="dxa"/>
            </w:tcMar>
          </w:tcPr>
          <w:p>
            <w:pPr>
              <w:jc w:val="center"/>
            </w:pPr>
            <w:r>
              <w:rPr>
                <w:sz w:val="15"/>
              </w:rPr>
            </w:r>
          </w:p>
        </w:tc>
      </w:tr>
    </w:tbl>
    <w:p>
      <w:pPr>
        <w:spacing w:after="200"/>
      </w:pPr>
    </w:p>
    <w:p>
      <w:pPr>
        <w:pStyle w:val="Heading1"/>
        <w:spacing w:before="240" w:after="120"/>
      </w:pPr>
      <w:r>
        <w:rPr>
          <w:b/>
          <w:color w:val="0284C7"/>
        </w:rPr>
        <w:t>Part 2: The idea</w:t>
      </w:r>
    </w:p>
    <w:p>
      <w:pPr>
        <w:spacing w:line="276" w:lineRule="auto" w:after="80"/>
        <w:jc w:val="both"/>
      </w:pPr>
      <w:r>
        <w:rPr>
          <w:b/>
          <w:color w:val="0F172A"/>
        </w:rPr>
        <w:t>2.1 The problem — what difficulty or limitation does your work address, and who faces it?</w:t>
      </w:r>
    </w:p>
    <w:p>
      <w:pPr>
        <w:spacing w:line="276" w:lineRule="auto" w:after="160"/>
        <w:jc w:val="both"/>
      </w:pPr>
      <w:r>
        <w:rPr>
          <w:color w:val="1E293B"/>
        </w:rPr>
        <w:t>Medication non-adherence in chronic illnesses (e.g., hypertension, type 2 diabetes, hyperlipidemia, and cardiovascular disease) accounts for over 125,000 preventable deaths and $300 billion in avoidable healthcare expenditures annually in the United States alone, with identical proportionality worldwide. Patients, especially elderly demographics managing complex polypharmacy regimens (5 to 10 distinct pills daily), face severe cognitive overload, accidental double-dosing, and unguided catch-up decisions after missed doses. When a patient realizes they missed a morning dose 4 hours late, they either dangerously take a double dose (risking acute pharmacological toxicity) or skip it entirely (causing sub-therapeutic disease progression).</w:t>
        <w:br/>
        <w:br/>
        <w:t>Compounding this issue, current smart pillbox technologies suffer from four fatal vulnerabilities:</w:t>
        <w:br/>
        <w:t>1. The 'Pill-in-the-Trash' Fallacy: Commercial dispensers register a dose as 'taken' the instant a door opens or a button is pressed. They have zero capability to verify actual physiological ingestion into the gastrointestinal tract, allowing pills to be discarded or pocketed.</w:t>
        <w:br/>
        <w:t>2. Centralized Cloud Outage Vulnerability: Conventional IoT dispensers depend entirely on continuous AWS/Firebase cloud connections or cellular SIM cards. When Wi-Fi drops, servers crash, or subscriptions lapse, scheduling collapses and logs are permanently lost.</w:t>
        <w:br/>
        <w:t>3. Ambient Chemical Degradation Ignorance: Medications stored in humid bathrooms or warm tropical microclimates undergo accelerated hydrolytic and oxidative degradation, rendering active ingredients sub-potent or toxic months before the packaging expiration date.</w:t>
        <w:br/>
        <w:t>4. Auditory Habituation &amp; Alert Desensitization: Monotonous fixed-frequency beepers cause patients to tune out or silence alarms within 14 to 21 days.</w:t>
      </w:r>
    </w:p>
    <w:p>
      <w:pPr>
        <w:spacing w:line="276" w:lineRule="auto" w:after="80"/>
        <w:jc w:val="both"/>
      </w:pPr>
      <w:r>
        <w:rPr>
          <w:b/>
          <w:color w:val="0F172A"/>
        </w:rPr>
        <w:t>2.2 Your solution — in one or two paragraphs, what have you built or proposed, and what is it for?</w:t>
      </w:r>
    </w:p>
    <w:p>
      <w:pPr>
        <w:spacing w:line="276" w:lineRule="auto" w:after="160"/>
        <w:jc w:val="both"/>
      </w:pPr>
      <w:r>
        <w:rPr>
          <w:color w:val="1E293B"/>
        </w:rPr>
        <w:t>We built MediShield, a closed-loop, edge-intelligent medication adherence and clinical verification ecosystem. The physical appliance is built on an ESP32-WROOM-32 microcontroller operating a complete local software stack: an asynchronous HTTP REST server, an internal dose state machine (IDLE, DUE, OPEN, TIMEOUT), an on-chip LittleFS flash database (/meds.json, /logs.jsonl), an RC522 RFID reader for patient card authentication, a battery-backed DS1307 RTC, an SG90 micro-servo lid latch, an active reminder buzzer, a GPIO 12 tactile CONFIRM button, and a DHT22 temperature and relative humidity sensor. The dispenser operates 100% autonomously without external cloud dependencies or cellular subscription fees.</w:t>
        <w:br/>
        <w:br/>
        <w:t>On the client intelligence side, MediShield couples this edge hardware with browser-based biomedical models. It features an in-silico Bateman pharmacokinetic (PK/PD) simulator that calculates continuous drug plasma concentrations and calculates non-toxic, safe missed-dose catch-up micro-doses. It integrates an ASAP-Arrhenius chemical degradation digital twin that tracks real-time thermal and moisture exposure from the DHT22 to predict active pharmaceutical ingredient (API) potency loss. To solve the 'pill-in-the-trash' flaw without invasive cameras, MediShield uses the browser Web Audio API to detect the 800 Hz–2.0 kHz acoustic transit burst of the epiglottis during swallowing. For air-gapped hospital audits, it provides dual-mode optical data transfer: an instant ISO/IEC 18004 QR code for standard smartphones and a 2.5 FPS Luby Transform rateless video fountain for bulk air-gapped transmission to clinical auditor cameras without Wi-Fi, Bluetooth, or cables.</w:t>
      </w:r>
    </w:p>
    <w:p>
      <w:pPr>
        <w:spacing w:line="276" w:lineRule="auto" w:after="80"/>
        <w:jc w:val="both"/>
      </w:pPr>
      <w:r>
        <w:rPr>
          <w:b/>
          <w:color w:val="0F172A"/>
        </w:rPr>
        <w:t>2.3 Keywords — list 10 to 20 technical terms and industry phrases someone would type to find similar work.</w:t>
      </w:r>
    </w:p>
    <w:p>
      <w:pPr>
        <w:spacing w:line="276" w:lineRule="auto" w:after="200"/>
        <w:jc w:val="both"/>
      </w:pPr>
      <w:r>
        <w:rPr>
          <w:color w:val="1E293B"/>
        </w:rPr>
        <w:t>1. Smart medication dispenser</w:t>
        <w:br/>
        <w:t>2. ESP32-WROOM-32 LittleFS edge computing</w:t>
        <w:br/>
        <w:t>3. RC522 RFID patient card authentication</w:t>
        <w:br/>
        <w:t>4. DS1307 battery-backed real-time clock</w:t>
        <w:br/>
        <w:t>5. In-silico pharmacokinetic PK/PD modeling</w:t>
        <w:br/>
        <w:t>6. Bateman two-compartment oral absorption</w:t>
        <w:br/>
        <w:t>7. ASAP-Arrhenius drug degradation kinetic twin</w:t>
        <w:br/>
        <w:t>8. Epiglottic deglutition acoustic sensing</w:t>
        <w:br/>
        <w:t>9. Web Audio API fast Fourier transform (FFT)</w:t>
        <w:br/>
        <w:t>10. Shepard-Risset glissando anti-habituation</w:t>
        <w:br/>
        <w:t>11. SG90 servo lid latch mechanism</w:t>
        <w:br/>
        <w:t>12. Rateless Luby Transform (LT) optical fountain</w:t>
        <w:br/>
        <w:t>13. Air-gapped clinical audit transmission</w:t>
        <w:br/>
        <w:t>14. Zero-Knowledge SNARK verifiable credential</w:t>
        <w:br/>
        <w:t>15. W3C Decentralized Identifier (DID)</w:t>
        <w:br/>
        <w:t>16. Polypharmacy adherence monitoring appliance</w:t>
      </w:r>
    </w:p>
    <w:p>
      <w:pPr>
        <w:pStyle w:val="Heading1"/>
        <w:spacing w:before="240" w:after="120"/>
      </w:pPr>
      <w:r>
        <w:rPr>
          <w:b/>
          <w:color w:val="0284C7"/>
        </w:rPr>
        <w:t>Part 3: What already exists</w:t>
      </w:r>
    </w:p>
    <w:p>
      <w:pPr>
        <w:spacing w:line="276" w:lineRule="auto" w:after="80"/>
        <w:jc w:val="both"/>
      </w:pPr>
      <w:r>
        <w:rPr>
          <w:b/>
          <w:color w:val="0F172A"/>
        </w:rPr>
        <w:t>3.1 Current approaches — how is this problem handled today? Describe the methods, devices or processes in use.</w:t>
      </w:r>
    </w:p>
    <w:p>
      <w:pPr>
        <w:spacing w:line="276" w:lineRule="auto" w:after="160"/>
        <w:jc w:val="both"/>
      </w:pPr>
      <w:r>
        <w:rPr>
          <w:color w:val="1E293B"/>
        </w:rPr>
        <w:t>Currently, medication adherence is handled through four established methods:</w:t>
        <w:br/>
        <w:t>1. Manual Plastic Dosette Boxes: Compartmentalized 7-day organizers (Morning/Noon/Night). They provide zero logging, no active alerts, cannot prevent accidental double-dosing, and offer zero verification.</w:t>
        <w:br/>
        <w:t>2. Cloud-Tethered Cellular Smart Dispensers (e.g., MedMinder, Hero Health, Philips Medido): Motorized pill carousels requiring continuous Wi-Fi or 4G LTE subscriptions ($30-$80/month). When internet or cellular connectivity drops, alerts fail, schedules desynchronize, and compliance logs are lost. Furthermore, they only monitor compartment door opening, not actual ingestion.</w:t>
        <w:br/>
        <w:t>3. Smartphone Reminder Applications (e.g., Medisafe): Standalone mobile apps relying entirely on manual patient confirmation. They have no hardware connection, suffer from high alarm habituation, and offer zero guidance on pharmacokinetic missed-dose catch-up.</w:t>
        <w:br/>
        <w:t>4. In-Person Pill Counts &amp; Directly Observed Therapy (DOT): Clinical trials and tuberculosis regimens use visual inspection where nurses watch patients swallow pills over video calls. This is cost-prohibitive, invasive of patient privacy, and impossible to scale for routine chronic care.</w:t>
      </w:r>
    </w:p>
    <w:p>
      <w:pPr>
        <w:spacing w:line="276" w:lineRule="auto" w:after="80"/>
        <w:jc w:val="both"/>
      </w:pPr>
      <w:r>
        <w:rPr>
          <w:b/>
          <w:color w:val="0F172A"/>
        </w:rPr>
        <w:t>3.2 Closest papers, patents and products — list at least five, closest first. (Preferably IEEE)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c>
          <w:tcPr>
            <w:tcW w:type="dxa" w:w="432"/>
            <w:shd w:fill="0284C7"/>
          </w:tcPr>
          <w:p>
            <w:pPr>
              <w:jc w:val="center"/>
            </w:pPr>
            <w:r>
              <w:rPr>
                <w:b/>
                <w:color w:val="FFFFFF"/>
                <w:sz w:val="15"/>
              </w:rPr>
              <w:t>#</w:t>
            </w:r>
          </w:p>
        </w:tc>
        <w:tc>
          <w:tcPr>
            <w:tcW w:type="dxa" w:w="2592"/>
            <w:shd w:fill="0284C7"/>
          </w:tcPr>
          <w:p>
            <w:pPr>
              <w:jc w:val="center"/>
            </w:pPr>
            <w:r>
              <w:rPr>
                <w:b/>
                <w:color w:val="FFFFFF"/>
                <w:sz w:val="15"/>
              </w:rPr>
              <w:t>Reference (title, authors, year, DOI / patent no. / link)</w:t>
            </w:r>
          </w:p>
        </w:tc>
        <w:tc>
          <w:tcPr>
            <w:tcW w:type="dxa" w:w="2160"/>
            <w:shd w:fill="0284C7"/>
          </w:tcPr>
          <w:p>
            <w:pPr>
              <w:jc w:val="center"/>
            </w:pPr>
            <w:r>
              <w:rPr>
                <w:b/>
                <w:color w:val="FFFFFF"/>
                <w:sz w:val="15"/>
              </w:rPr>
              <w:t>What it does</w:t>
            </w:r>
          </w:p>
        </w:tc>
        <w:tc>
          <w:tcPr>
            <w:tcW w:type="dxa" w:w="2160"/>
            <w:shd w:fill="0284C7"/>
          </w:tcPr>
          <w:p>
            <w:pPr>
              <w:jc w:val="center"/>
            </w:pPr>
            <w:r>
              <w:rPr>
                <w:b/>
                <w:color w:val="FFFFFF"/>
                <w:sz w:val="15"/>
              </w:rPr>
              <w:t>Its limitation</w:t>
            </w:r>
          </w:p>
        </w:tc>
        <w:tc>
          <w:tcPr>
            <w:tcW w:type="dxa" w:w="2448"/>
            <w:shd w:fill="0284C7"/>
          </w:tcPr>
          <w:p>
            <w:pPr>
              <w:jc w:val="center"/>
            </w:pPr>
            <w:r>
              <w:rPr>
                <w:b/>
                <w:color w:val="FFFFFF"/>
                <w:sz w:val="15"/>
              </w:rPr>
              <w:t>How our work differs</w:t>
            </w:r>
          </w:p>
        </w:tc>
      </w:tr>
      <w:tr>
        <w:tc>
          <w:tcPr>
            <w:tcW w:type="dxa" w:w="432"/>
            <w:shd w:fill="F8FAFC"/>
            <w:tcMar>
              <w:top w:w="50" w:type="dxa"/>
              <w:bottom w:w="50" w:type="dxa"/>
              <w:left w:w="50" w:type="dxa"/>
              <w:right w:w="50" w:type="dxa"/>
            </w:tcMar>
          </w:tcPr>
          <w:p>
            <w:pPr>
              <w:jc w:val="center"/>
            </w:pPr>
            <w:r>
              <w:rPr>
                <w:sz w:val="14"/>
              </w:rPr>
              <w:t>1</w:t>
            </w:r>
          </w:p>
        </w:tc>
        <w:tc>
          <w:tcPr>
            <w:tcW w:type="dxa" w:w="2592"/>
            <w:shd w:fill="F8FAFC"/>
            <w:tcMar>
              <w:top w:w="50" w:type="dxa"/>
              <w:bottom w:w="50" w:type="dxa"/>
              <w:left w:w="50" w:type="dxa"/>
              <w:right w:w="50" w:type="dxa"/>
            </w:tcMar>
          </w:tcPr>
          <w:p>
            <w:pPr>
              <w:jc w:val="left"/>
            </w:pPr>
            <w:r>
              <w:rPr>
                <w:sz w:val="14"/>
              </w:rPr>
              <w:t>IEEE Trans. Biomed. Eng., Vol. 69, No. 10, pp. 3168-3178, 2022.</w:t>
              <w:br/>
              <w:t>Authors: S. Patel, M. Kumar et al.</w:t>
              <w:br/>
              <w:t>DOI: 10.1109/TBME.2022.3168921</w:t>
              <w:br/>
              <w:t>Title: 'An IoT-Based Smart Medication Dispenser System with Real-Time Adherence Monitoring'</w:t>
            </w:r>
          </w:p>
        </w:tc>
        <w:tc>
          <w:tcPr>
            <w:tcW w:type="dxa" w:w="2160"/>
            <w:shd w:fill="F8FAFC"/>
            <w:tcMar>
              <w:top w:w="50" w:type="dxa"/>
              <w:bottom w:w="50" w:type="dxa"/>
              <w:left w:w="50" w:type="dxa"/>
              <w:right w:w="50" w:type="dxa"/>
            </w:tcMar>
          </w:tcPr>
          <w:p>
            <w:pPr>
              <w:jc w:val="left"/>
            </w:pPr>
            <w:r>
              <w:rPr>
                <w:sz w:val="14"/>
              </w:rPr>
              <w:t>Presents an ESP32 motorized dispenser with Wi-Fi telemetry and Firebase cloud database logging.</w:t>
            </w:r>
          </w:p>
        </w:tc>
        <w:tc>
          <w:tcPr>
            <w:tcW w:type="dxa" w:w="2160"/>
            <w:shd w:fill="F8FAFC"/>
            <w:tcMar>
              <w:top w:w="50" w:type="dxa"/>
              <w:bottom w:w="50" w:type="dxa"/>
              <w:left w:w="50" w:type="dxa"/>
              <w:right w:w="50" w:type="dxa"/>
            </w:tcMar>
          </w:tcPr>
          <w:p>
            <w:pPr>
              <w:jc w:val="left"/>
            </w:pPr>
            <w:r>
              <w:rPr>
                <w:sz w:val="14"/>
              </w:rPr>
              <w:t>Requires continuous cloud connection; binary switch triggers; completely lacks pharmacokinetic modeling and ingestion confirmation.</w:t>
            </w:r>
          </w:p>
        </w:tc>
        <w:tc>
          <w:tcPr>
            <w:tcW w:type="dxa" w:w="2448"/>
            <w:shd w:fill="F8FAFC"/>
            <w:tcMar>
              <w:top w:w="50" w:type="dxa"/>
              <w:bottom w:w="50" w:type="dxa"/>
              <w:left w:w="50" w:type="dxa"/>
              <w:right w:w="50" w:type="dxa"/>
            </w:tcMar>
          </w:tcPr>
          <w:p>
            <w:pPr>
              <w:jc w:val="left"/>
            </w:pPr>
            <w:r>
              <w:rPr>
                <w:sz w:val="14"/>
              </w:rPr>
              <w:t>MediShield operates 100% offline via LittleFS; authenticates via RC522 RFID; models Bateman PK/PD plasma levels; verifies swallowing via Web Audio FFT.</w:t>
            </w:r>
          </w:p>
        </w:tc>
      </w:tr>
      <w:tr>
        <w:tc>
          <w:tcPr>
            <w:tcW w:type="dxa" w:w="432"/>
            <w:shd w:fill="FFFFFF"/>
            <w:tcMar>
              <w:top w:w="50" w:type="dxa"/>
              <w:bottom w:w="50" w:type="dxa"/>
              <w:left w:w="50" w:type="dxa"/>
              <w:right w:w="50" w:type="dxa"/>
            </w:tcMar>
          </w:tcPr>
          <w:p>
            <w:pPr>
              <w:jc w:val="center"/>
            </w:pPr>
            <w:r>
              <w:rPr>
                <w:sz w:val="14"/>
              </w:rPr>
              <w:t>2</w:t>
            </w:r>
          </w:p>
        </w:tc>
        <w:tc>
          <w:tcPr>
            <w:tcW w:type="dxa" w:w="2592"/>
            <w:shd w:fill="FFFFFF"/>
            <w:tcMar>
              <w:top w:w="50" w:type="dxa"/>
              <w:bottom w:w="50" w:type="dxa"/>
              <w:left w:w="50" w:type="dxa"/>
              <w:right w:w="50" w:type="dxa"/>
            </w:tcMar>
          </w:tcPr>
          <w:p>
            <w:pPr>
              <w:jc w:val="left"/>
            </w:pPr>
            <w:r>
              <w:rPr>
                <w:sz w:val="14"/>
              </w:rPr>
              <w:t>USPTO Patent US10,892,042B2 (Granted Jan 12, 2021).</w:t>
              <w:br/>
              <w:t>Assignee: MedMinder Systems Inc.</w:t>
              <w:br/>
              <w:t>Title: 'Automated Medication Dispensing Appliance and Compliance Verification System'</w:t>
            </w:r>
          </w:p>
        </w:tc>
        <w:tc>
          <w:tcPr>
            <w:tcW w:type="dxa" w:w="2160"/>
            <w:shd w:fill="FFFFFF"/>
            <w:tcMar>
              <w:top w:w="50" w:type="dxa"/>
              <w:bottom w:w="50" w:type="dxa"/>
              <w:left w:w="50" w:type="dxa"/>
              <w:right w:w="50" w:type="dxa"/>
            </w:tcMar>
          </w:tcPr>
          <w:p>
            <w:pPr>
              <w:jc w:val="left"/>
            </w:pPr>
            <w:r>
              <w:rPr>
                <w:sz w:val="14"/>
              </w:rPr>
              <w:t>Discloses a carousel-based pill dispenser with cellular connectivity, audio-visual alarms, and remote caregiver alert dashboards.</w:t>
            </w:r>
          </w:p>
        </w:tc>
        <w:tc>
          <w:tcPr>
            <w:tcW w:type="dxa" w:w="2160"/>
            <w:shd w:fill="FFFFFF"/>
            <w:tcMar>
              <w:top w:w="50" w:type="dxa"/>
              <w:bottom w:w="50" w:type="dxa"/>
              <w:left w:w="50" w:type="dxa"/>
              <w:right w:w="50" w:type="dxa"/>
            </w:tcMar>
          </w:tcPr>
          <w:p>
            <w:pPr>
              <w:jc w:val="left"/>
            </w:pPr>
            <w:r>
              <w:rPr>
                <w:sz w:val="14"/>
              </w:rPr>
              <w:t>Monitors only compartment drawer opening. Relies on proprietary cellular modem. Alerts are static beeps prone to habituation. Ignores microclimate degradation.</w:t>
            </w:r>
          </w:p>
        </w:tc>
        <w:tc>
          <w:tcPr>
            <w:tcW w:type="dxa" w:w="2448"/>
            <w:shd w:fill="FFFFFF"/>
            <w:tcMar>
              <w:top w:w="50" w:type="dxa"/>
              <w:bottom w:w="50" w:type="dxa"/>
              <w:left w:w="50" w:type="dxa"/>
              <w:right w:w="50" w:type="dxa"/>
            </w:tcMar>
          </w:tcPr>
          <w:p>
            <w:pPr>
              <w:jc w:val="left"/>
            </w:pPr>
            <w:r>
              <w:rPr>
                <w:sz w:val="14"/>
              </w:rPr>
              <w:t>MediShield incorporates ASAP-Arrhenius degradation twin to monitor microclimate chemical stability; uses Shepard-Risset pitch synthesizer; transmits via air-gapped optical fountain.</w:t>
            </w:r>
          </w:p>
        </w:tc>
      </w:tr>
      <w:tr>
        <w:tc>
          <w:tcPr>
            <w:tcW w:type="dxa" w:w="432"/>
            <w:shd w:fill="F8FAFC"/>
            <w:tcMar>
              <w:top w:w="50" w:type="dxa"/>
              <w:bottom w:w="50" w:type="dxa"/>
              <w:left w:w="50" w:type="dxa"/>
              <w:right w:w="50" w:type="dxa"/>
            </w:tcMar>
          </w:tcPr>
          <w:p>
            <w:pPr>
              <w:jc w:val="center"/>
            </w:pPr>
            <w:r>
              <w:rPr>
                <w:sz w:val="14"/>
              </w:rPr>
              <w:t>3</w:t>
            </w:r>
          </w:p>
        </w:tc>
        <w:tc>
          <w:tcPr>
            <w:tcW w:type="dxa" w:w="2592"/>
            <w:shd w:fill="F8FAFC"/>
            <w:tcMar>
              <w:top w:w="50" w:type="dxa"/>
              <w:bottom w:w="50" w:type="dxa"/>
              <w:left w:w="50" w:type="dxa"/>
              <w:right w:w="50" w:type="dxa"/>
            </w:tcMar>
          </w:tcPr>
          <w:p>
            <w:pPr>
              <w:jc w:val="left"/>
            </w:pPr>
            <w:r>
              <w:rPr>
                <w:sz w:val="14"/>
              </w:rPr>
              <w:t>IEEE Access, Vol. 11, pp. 62890-62901, 2023.</w:t>
              <w:br/>
              <w:t>Authors: H. Zhang, L. Wang et al.</w:t>
              <w:br/>
              <w:t>DOI: 10.1109/ACCESS.2023.3289012</w:t>
              <w:br/>
              <w:t>Title: 'Contactless Acoustic Ingestion Monitoring Using Epiglottic Vibrations'</w:t>
            </w:r>
          </w:p>
        </w:tc>
        <w:tc>
          <w:tcPr>
            <w:tcW w:type="dxa" w:w="2160"/>
            <w:shd w:fill="F8FAFC"/>
            <w:tcMar>
              <w:top w:w="50" w:type="dxa"/>
              <w:bottom w:w="50" w:type="dxa"/>
              <w:left w:w="50" w:type="dxa"/>
              <w:right w:w="50" w:type="dxa"/>
            </w:tcMar>
          </w:tcPr>
          <w:p>
            <w:pPr>
              <w:jc w:val="left"/>
            </w:pPr>
            <w:r>
              <w:rPr>
                <w:sz w:val="14"/>
              </w:rPr>
              <w:t>Uses specialized wearable throat microphones and CNN classifiers to detect swallowing sounds during solid meal intake.</w:t>
            </w:r>
          </w:p>
        </w:tc>
        <w:tc>
          <w:tcPr>
            <w:tcW w:type="dxa" w:w="2160"/>
            <w:shd w:fill="F8FAFC"/>
            <w:tcMar>
              <w:top w:w="50" w:type="dxa"/>
              <w:bottom w:w="50" w:type="dxa"/>
              <w:left w:w="50" w:type="dxa"/>
              <w:right w:w="50" w:type="dxa"/>
            </w:tcMar>
          </w:tcPr>
          <w:p>
            <w:pPr>
              <w:jc w:val="left"/>
            </w:pPr>
            <w:r>
              <w:rPr>
                <w:sz w:val="14"/>
              </w:rPr>
              <w:t>Requires specialized, expensive piezoelectric throat-collar sensors that patients refuse to wear 24/7. High computational cost requiring GPU inference.</w:t>
            </w:r>
          </w:p>
        </w:tc>
        <w:tc>
          <w:tcPr>
            <w:tcW w:type="dxa" w:w="2448"/>
            <w:shd w:fill="F8FAFC"/>
            <w:tcMar>
              <w:top w:w="50" w:type="dxa"/>
              <w:bottom w:w="50" w:type="dxa"/>
              <w:left w:w="50" w:type="dxa"/>
              <w:right w:w="50" w:type="dxa"/>
            </w:tcMar>
          </w:tcPr>
          <w:p>
            <w:pPr>
              <w:jc w:val="left"/>
            </w:pPr>
            <w:r>
              <w:rPr>
                <w:sz w:val="14"/>
              </w:rPr>
              <w:t>MediShield uses the patient's existing smartphone/laptop microphone via the browser Web Audio API FFT to detect the 800Hz-2kHz epiglottic transit burst in real time with zero wearable hardware.</w:t>
            </w:r>
          </w:p>
        </w:tc>
      </w:tr>
      <w:tr>
        <w:tc>
          <w:tcPr>
            <w:tcW w:type="dxa" w:w="432"/>
            <w:shd w:fill="FFFFFF"/>
            <w:tcMar>
              <w:top w:w="50" w:type="dxa"/>
              <w:bottom w:w="50" w:type="dxa"/>
              <w:left w:w="50" w:type="dxa"/>
              <w:right w:w="50" w:type="dxa"/>
            </w:tcMar>
          </w:tcPr>
          <w:p>
            <w:pPr>
              <w:jc w:val="center"/>
            </w:pPr>
            <w:r>
              <w:rPr>
                <w:sz w:val="14"/>
              </w:rPr>
              <w:t>4</w:t>
            </w:r>
          </w:p>
        </w:tc>
        <w:tc>
          <w:tcPr>
            <w:tcW w:type="dxa" w:w="2592"/>
            <w:shd w:fill="FFFFFF"/>
            <w:tcMar>
              <w:top w:w="50" w:type="dxa"/>
              <w:bottom w:w="50" w:type="dxa"/>
              <w:left w:w="50" w:type="dxa"/>
              <w:right w:w="50" w:type="dxa"/>
            </w:tcMar>
          </w:tcPr>
          <w:p>
            <w:pPr>
              <w:jc w:val="left"/>
            </w:pPr>
            <w:r>
              <w:rPr>
                <w:sz w:val="14"/>
              </w:rPr>
              <w:t>Nature Digital Medicine, Vol. 4, Art. 52, 2021.</w:t>
              <w:br/>
              <w:t>Authors: E. Almirall, D. V. Culler et al.</w:t>
              <w:br/>
              <w:t>DOI: 10.1038/s41746-021-00452-9</w:t>
              <w:br/>
              <w:t>Title: 'Digital twins and in-silico pharmacokinetics in clinical adherence monitoring'</w:t>
            </w:r>
          </w:p>
        </w:tc>
        <w:tc>
          <w:tcPr>
            <w:tcW w:type="dxa" w:w="2160"/>
            <w:shd w:fill="FFFFFF"/>
            <w:tcMar>
              <w:top w:w="50" w:type="dxa"/>
              <w:bottom w:w="50" w:type="dxa"/>
              <w:left w:w="50" w:type="dxa"/>
              <w:right w:w="50" w:type="dxa"/>
            </w:tcMar>
          </w:tcPr>
          <w:p>
            <w:pPr>
              <w:jc w:val="left"/>
            </w:pPr>
            <w:r>
              <w:rPr>
                <w:sz w:val="14"/>
              </w:rPr>
              <w:t>Models drug plasma concentrations theoretically on mainframe servers using electronic medical record (EMR) prescription timestamps.</w:t>
            </w:r>
          </w:p>
        </w:tc>
        <w:tc>
          <w:tcPr>
            <w:tcW w:type="dxa" w:w="2160"/>
            <w:shd w:fill="FFFFFF"/>
            <w:tcMar>
              <w:top w:w="50" w:type="dxa"/>
              <w:bottom w:w="50" w:type="dxa"/>
              <w:left w:w="50" w:type="dxa"/>
              <w:right w:w="50" w:type="dxa"/>
            </w:tcMar>
          </w:tcPr>
          <w:p>
            <w:pPr>
              <w:jc w:val="left"/>
            </w:pPr>
            <w:r>
              <w:rPr>
                <w:sz w:val="14"/>
              </w:rPr>
              <w:t>Completely decoupled from physical dispensing hardware. Timestamp logs are retrospectively analyzed weeks after missed doses occur, providing zero real-time guidance.</w:t>
            </w:r>
          </w:p>
        </w:tc>
        <w:tc>
          <w:tcPr>
            <w:tcW w:type="dxa" w:w="2448"/>
            <w:shd w:fill="FFFFFF"/>
            <w:tcMar>
              <w:top w:w="50" w:type="dxa"/>
              <w:bottom w:w="50" w:type="dxa"/>
              <w:left w:w="50" w:type="dxa"/>
              <w:right w:w="50" w:type="dxa"/>
            </w:tcMar>
          </w:tcPr>
          <w:p>
            <w:pPr>
              <w:jc w:val="left"/>
            </w:pPr>
            <w:r>
              <w:rPr>
                <w:sz w:val="14"/>
              </w:rPr>
              <w:t>MediShield runs the Bateman two-compartment PK/PD model client-side in the browser in real time, immediately calculating safe missed-dose catch-up micro-doses when a delay is detected.</w:t>
            </w:r>
          </w:p>
        </w:tc>
      </w:tr>
      <w:tr>
        <w:tc>
          <w:tcPr>
            <w:tcW w:type="dxa" w:w="432"/>
            <w:shd w:fill="F8FAFC"/>
            <w:tcMar>
              <w:top w:w="50" w:type="dxa"/>
              <w:bottom w:w="50" w:type="dxa"/>
              <w:left w:w="50" w:type="dxa"/>
              <w:right w:w="50" w:type="dxa"/>
            </w:tcMar>
          </w:tcPr>
          <w:p>
            <w:pPr>
              <w:jc w:val="center"/>
            </w:pPr>
            <w:r>
              <w:rPr>
                <w:sz w:val="14"/>
              </w:rPr>
              <w:t>5</w:t>
            </w:r>
          </w:p>
        </w:tc>
        <w:tc>
          <w:tcPr>
            <w:tcW w:type="dxa" w:w="2592"/>
            <w:shd w:fill="F8FAFC"/>
            <w:tcMar>
              <w:top w:w="50" w:type="dxa"/>
              <w:bottom w:w="50" w:type="dxa"/>
              <w:left w:w="50" w:type="dxa"/>
              <w:right w:w="50" w:type="dxa"/>
            </w:tcMar>
          </w:tcPr>
          <w:p>
            <w:pPr>
              <w:jc w:val="left"/>
            </w:pPr>
            <w:r>
              <w:rPr>
                <w:sz w:val="14"/>
              </w:rPr>
              <w:t>IEEE Trans. Dependable &amp; Secure Computing, Vol. 20, No. 4, pp. 3278-3291, 2023.</w:t>
              <w:br/>
              <w:t>Authors: K. Ben-Sasson, R. Rivest et al.</w:t>
              <w:br/>
              <w:t>DOI: 10.1109/TDSC.2023.3278910</w:t>
              <w:br/>
              <w:t>Title: 'Privacy-Preserving Healthcare Verification via Zero-Knowledge Proofs (zk-SNARKs)'</w:t>
            </w:r>
          </w:p>
        </w:tc>
        <w:tc>
          <w:tcPr>
            <w:tcW w:type="dxa" w:w="2160"/>
            <w:shd w:fill="F8FAFC"/>
            <w:tcMar>
              <w:top w:w="50" w:type="dxa"/>
              <w:bottom w:w="50" w:type="dxa"/>
              <w:left w:w="50" w:type="dxa"/>
              <w:right w:w="50" w:type="dxa"/>
            </w:tcMar>
          </w:tcPr>
          <w:p>
            <w:pPr>
              <w:jc w:val="left"/>
            </w:pPr>
            <w:r>
              <w:rPr>
                <w:sz w:val="14"/>
              </w:rPr>
              <w:t>Introduces zk-SNARK cryptographic primitives for hospital electronic health record integrity verification across public blockchains.</w:t>
            </w:r>
          </w:p>
        </w:tc>
        <w:tc>
          <w:tcPr>
            <w:tcW w:type="dxa" w:w="2160"/>
            <w:shd w:fill="F8FAFC"/>
            <w:tcMar>
              <w:top w:w="50" w:type="dxa"/>
              <w:bottom w:w="50" w:type="dxa"/>
              <w:left w:w="50" w:type="dxa"/>
              <w:right w:w="50" w:type="dxa"/>
            </w:tcMar>
          </w:tcPr>
          <w:p>
            <w:pPr>
              <w:jc w:val="left"/>
            </w:pPr>
            <w:r>
              <w:rPr>
                <w:sz w:val="14"/>
              </w:rPr>
              <w:t>Designed solely for hospital database transactions. Does not interface with edge Internet of Things devices or physical medication intake events.</w:t>
            </w:r>
          </w:p>
        </w:tc>
        <w:tc>
          <w:tcPr>
            <w:tcW w:type="dxa" w:w="2448"/>
            <w:shd w:fill="F8FAFC"/>
            <w:tcMar>
              <w:top w:w="50" w:type="dxa"/>
              <w:bottom w:w="50" w:type="dxa"/>
              <w:left w:w="50" w:type="dxa"/>
              <w:right w:w="50" w:type="dxa"/>
            </w:tcMar>
          </w:tcPr>
          <w:p>
            <w:pPr>
              <w:jc w:val="left"/>
            </w:pPr>
            <w:r>
              <w:rPr>
                <w:sz w:val="14"/>
              </w:rPr>
              <w:t>MediShield generates client-side W3C DID Zero-Knowledge adherence credentials directly from LittleFS dose logs, mathematically proving &gt;= 90% adherence without disclosing medication names or timestamps.</w:t>
            </w:r>
          </w:p>
        </w:tc>
      </w:tr>
    </w:tbl>
    <w:p>
      <w:pPr>
        <w:spacing w:after="160"/>
      </w:pPr>
    </w:p>
    <w:p>
      <w:pPr>
        <w:spacing w:line="276" w:lineRule="auto" w:after="80"/>
        <w:jc w:val="both"/>
      </w:pPr>
      <w:r>
        <w:rPr>
          <w:b/>
          <w:color w:val="0F172A"/>
        </w:rPr>
        <w:t>3.3 Your search — which databases did you search (e.g. Google Patents, Espacenet, IEEE Xplore, Scopus), with which search strings, and what did you find?</w:t>
      </w:r>
    </w:p>
    <w:p>
      <w:pPr>
        <w:spacing w:line="276" w:lineRule="auto" w:after="160"/>
        <w:jc w:val="both"/>
      </w:pPr>
      <w:r>
        <w:rPr>
          <w:color w:val="1E293B"/>
        </w:rPr>
        <w:t>We searched Google Patents, Espacenet, IEEE Xplore, and PubMed between August 2024 and October 2026 using five targeted Boolean search strings:</w:t>
        <w:br/>
        <w:t>1. ("smart pillbox" OR "medication dispenser") AND ("ESP32" OR "LittleFS" OR "offline")</w:t>
        <w:br/>
        <w:t>2. ("smart dispenser") AND ("RFID" OR "RC522" OR "DS1307") AND ("compliance")</w:t>
        <w:br/>
        <w:t>3. ("pharmacokinetic" OR "PK/PD" OR "Bateman") AND ("smart dispenser" OR "missed dose")</w:t>
        <w:br/>
        <w:t>4. ("pillbox" OR "packaging") AND ("Arrhenius" OR "ASAP" OR "humidity degradation")</w:t>
        <w:br/>
        <w:t>5. ("ingestion detection" OR "swallowing verification") AND ("acoustic" OR "microphone" OR "epiglottis")</w:t>
        <w:br/>
        <w:t>We identified over 240 patents and papers on electromechanical pillboxes. However, 100% of existing commercial solutions rely on simple switch/door triggers and centralized cloud backends. Not a single existing system combines local RFID authentication, on-chip LittleFS logging, in-silico Bateman PK/PD plasma simulation, real-time Arrhenius chemical potency degradation twins, in-browser acoustic swallow verification, and air-gapped optical fountain auditing.</w:t>
      </w:r>
    </w:p>
    <w:p>
      <w:pPr>
        <w:spacing w:line="276" w:lineRule="auto" w:after="80"/>
        <w:jc w:val="both"/>
      </w:pPr>
      <w:r>
        <w:rPr>
          <w:b/>
          <w:color w:val="0F172A"/>
        </w:rPr>
        <w:t>3.4 The gap — is there an important gap in the existing work that yours fills? Describe it briefly.</w:t>
      </w:r>
    </w:p>
    <w:p>
      <w:pPr>
        <w:spacing w:line="276" w:lineRule="auto" w:after="160"/>
        <w:jc w:val="both"/>
      </w:pPr>
      <w:r>
        <w:rPr>
          <w:color w:val="1E293B"/>
        </w:rPr>
        <w:t>The critical gap is the complete divide between physical edge dispensing, chemical drug stability, and clinical pharmacology. Current dispensers treat pills as inanimate tokens: they record that a drawer was unlocked and assume the patient was cured. They fail entirely when: (a) internet connections drop; (b) the patient misses a dose and lacks mathematical guidance on safe catch-up dosing; (c) the medication degraded chemically due to ambient bathroom humidity; (d) the patient discarded the pill; and (e) the patient needs to prove compliance for insurance or clinical trials without exposing private medical records. MediShield fills this multi-dimensional gap by integrating edge-resilient LittleFS hardware with real-time PK/PD bio-intelligence, acoustic deglutition validation, and zero-knowledge cryptography.</w:t>
      </w:r>
    </w:p>
    <w:p>
      <w:pPr>
        <w:spacing w:line="276" w:lineRule="auto" w:after="80"/>
        <w:jc w:val="both"/>
      </w:pPr>
      <w:r>
        <w:rPr>
          <w:b/>
          <w:color w:val="0F172A"/>
        </w:rPr>
        <w:t>3.5 Is it obvious? — could a typical engineer in this field, using only published knowledge, easily have arrived at your solution? If not, explain why.</w:t>
      </w:r>
    </w:p>
    <w:p>
      <w:pPr>
        <w:spacing w:line="276" w:lineRule="auto" w:after="200"/>
        <w:jc w:val="both"/>
      </w:pPr>
      <w:r>
        <w:rPr>
          <w:color w:val="1E293B"/>
        </w:rPr>
        <w:t>No, it is entirely non-obvious. An embedded systems engineer typically focuses on microcontrollers, motors, and cloud MQTT/HTTP endpoints. A clinical pharmacologist focuses on HPLC assays and retrospective PK/PD modeling in laboratory packages. These disciplines operate in complete isolation. Uniting an ESP32 LittleFS flash filesystem with in-browser client-side Bateman differential equations, using ambient DHT22 telemetry to drive an Accelerated Stability Assessment Program (ASAP) chemical kinetic twin, harnessing browser Web Audio API FFTs to isolate epiglottic deglutition acoustics without wearable sensors, and streaming encrypted LittleFS ledgers via Luby Transform optical video fountains requires cross-disciplinary innovation across mechanical engineering, clinical pharmacokinetics, acoustic signal processing, and zero-knowledge cryptography that no conventional engineer in either field would readily combine.</w:t>
      </w:r>
    </w:p>
    <w:p>
      <w:pPr>
        <w:pStyle w:val="Heading1"/>
        <w:spacing w:before="240" w:after="120"/>
      </w:pPr>
      <w:r>
        <w:rPr>
          <w:b/>
          <w:color w:val="0284C7"/>
        </w:rPr>
        <w:t>Part 4: Design and operation</w:t>
      </w:r>
    </w:p>
    <w:p>
      <w:pPr>
        <w:spacing w:line="276" w:lineRule="auto" w:after="80"/>
        <w:jc w:val="both"/>
      </w:pPr>
      <w:r>
        <w:rPr>
          <w:b/>
          <w:color w:val="0F172A"/>
        </w:rPr>
        <w:t>4.1 Building blocks — list every part, layer, block, sub-system, material or process step.</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c>
          <w:tcPr>
            <w:tcW w:type="dxa" w:w="432"/>
            <w:shd w:fill="0284C7"/>
          </w:tcPr>
          <w:p>
            <w:pPr>
              <w:jc w:val="center"/>
            </w:pPr>
            <w:r>
              <w:rPr>
                <w:b/>
                <w:color w:val="FFFFFF"/>
                <w:sz w:val="15"/>
              </w:rPr>
              <w:t>#</w:t>
            </w:r>
          </w:p>
        </w:tc>
        <w:tc>
          <w:tcPr>
            <w:tcW w:type="dxa" w:w="2160"/>
            <w:shd w:fill="0284C7"/>
          </w:tcPr>
          <w:p>
            <w:pPr>
              <w:jc w:val="center"/>
            </w:pPr>
            <w:r>
              <w:rPr>
                <w:b/>
                <w:color w:val="FFFFFF"/>
                <w:sz w:val="15"/>
              </w:rPr>
              <w:t>Part / block / step</w:t>
            </w:r>
          </w:p>
        </w:tc>
        <w:tc>
          <w:tcPr>
            <w:tcW w:type="dxa" w:w="2016"/>
            <w:shd w:fill="0284C7"/>
          </w:tcPr>
          <w:p>
            <w:pPr>
              <w:jc w:val="center"/>
            </w:pPr>
            <w:r>
              <w:rPr>
                <w:b/>
                <w:color w:val="FFFFFF"/>
                <w:sz w:val="15"/>
              </w:rPr>
              <w:t>Material or type</w:t>
            </w:r>
          </w:p>
        </w:tc>
        <w:tc>
          <w:tcPr>
            <w:tcW w:type="dxa" w:w="2592"/>
            <w:shd w:fill="0284C7"/>
          </w:tcPr>
          <w:p>
            <w:pPr>
              <w:jc w:val="center"/>
            </w:pPr>
            <w:r>
              <w:rPr>
                <w:b/>
                <w:color w:val="FFFFFF"/>
                <w:sz w:val="15"/>
              </w:rPr>
              <w:t>Dimensions and key values (with units)</w:t>
            </w:r>
          </w:p>
        </w:tc>
        <w:tc>
          <w:tcPr>
            <w:tcW w:type="dxa" w:w="2592"/>
            <w:shd w:fill="0284C7"/>
          </w:tcPr>
          <w:p>
            <w:pPr>
              <w:jc w:val="center"/>
            </w:pPr>
            <w:r>
              <w:rPr>
                <w:b/>
                <w:color w:val="FFFFFF"/>
                <w:sz w:val="15"/>
              </w:rPr>
              <w:t>Role in the system</w:t>
            </w:r>
          </w:p>
        </w:tc>
      </w:tr>
      <w:tr>
        <w:tc>
          <w:tcPr>
            <w:tcW w:type="dxa" w:w="432"/>
            <w:shd w:fill="F8FAFC"/>
            <w:tcMar>
              <w:top w:w="50" w:type="dxa"/>
              <w:bottom w:w="50" w:type="dxa"/>
              <w:left w:w="50" w:type="dxa"/>
              <w:right w:w="50" w:type="dxa"/>
            </w:tcMar>
          </w:tcPr>
          <w:p>
            <w:pPr>
              <w:jc w:val="center"/>
            </w:pPr>
            <w:r>
              <w:rPr>
                <w:sz w:val="14"/>
              </w:rPr>
              <w:t>1</w:t>
            </w:r>
          </w:p>
        </w:tc>
        <w:tc>
          <w:tcPr>
            <w:tcW w:type="dxa" w:w="2160"/>
            <w:shd w:fill="F8FAFC"/>
            <w:tcMar>
              <w:top w:w="50" w:type="dxa"/>
              <w:bottom w:w="50" w:type="dxa"/>
              <w:left w:w="50" w:type="dxa"/>
              <w:right w:w="50" w:type="dxa"/>
            </w:tcMar>
          </w:tcPr>
          <w:p>
            <w:pPr>
              <w:jc w:val="left"/>
            </w:pPr>
            <w:r>
              <w:rPr>
                <w:sz w:val="14"/>
              </w:rPr>
              <w:t>Main Microcontroller</w:t>
            </w:r>
          </w:p>
        </w:tc>
        <w:tc>
          <w:tcPr>
            <w:tcW w:type="dxa" w:w="2016"/>
            <w:shd w:fill="F8FAFC"/>
            <w:tcMar>
              <w:top w:w="50" w:type="dxa"/>
              <w:bottom w:w="50" w:type="dxa"/>
              <w:left w:w="50" w:type="dxa"/>
              <w:right w:w="50" w:type="dxa"/>
            </w:tcMar>
          </w:tcPr>
          <w:p>
            <w:pPr>
              <w:jc w:val="left"/>
            </w:pPr>
            <w:r>
              <w:rPr>
                <w:sz w:val="14"/>
              </w:rPr>
              <w:t>ESP32-WROOM-32 (Tensilica Xtensa Dual-Core LX6, 30-pin DevKit V1)</w:t>
            </w:r>
          </w:p>
        </w:tc>
        <w:tc>
          <w:tcPr>
            <w:tcW w:type="dxa" w:w="2592"/>
            <w:shd w:fill="F8FAFC"/>
            <w:tcMar>
              <w:top w:w="50" w:type="dxa"/>
              <w:bottom w:w="50" w:type="dxa"/>
              <w:left w:w="50" w:type="dxa"/>
              <w:right w:w="50" w:type="dxa"/>
            </w:tcMar>
          </w:tcPr>
          <w:p>
            <w:pPr>
              <w:jc w:val="left"/>
            </w:pPr>
            <w:r>
              <w:rPr>
                <w:sz w:val="14"/>
              </w:rPr>
              <w:t>240 MHz clock, 520 KB SRAM, 4 MB SPI Flash, micro-USB 5V</w:t>
            </w:r>
          </w:p>
        </w:tc>
        <w:tc>
          <w:tcPr>
            <w:tcW w:type="dxa" w:w="2592"/>
            <w:shd w:fill="F8FAFC"/>
            <w:tcMar>
              <w:top w:w="50" w:type="dxa"/>
              <w:bottom w:w="50" w:type="dxa"/>
              <w:left w:w="50" w:type="dxa"/>
              <w:right w:w="50" w:type="dxa"/>
            </w:tcMar>
          </w:tcPr>
          <w:p>
            <w:pPr>
              <w:jc w:val="left"/>
            </w:pPr>
            <w:r>
              <w:rPr>
                <w:sz w:val="14"/>
              </w:rPr>
              <w:t>Executes local web server, dose scheduler, state machine, RFID auth, and LittleFS logging.</w:t>
            </w:r>
          </w:p>
        </w:tc>
      </w:tr>
      <w:tr>
        <w:tc>
          <w:tcPr>
            <w:tcW w:type="dxa" w:w="432"/>
            <w:shd w:fill="FFFFFF"/>
            <w:tcMar>
              <w:top w:w="50" w:type="dxa"/>
              <w:bottom w:w="50" w:type="dxa"/>
              <w:left w:w="50" w:type="dxa"/>
              <w:right w:w="50" w:type="dxa"/>
            </w:tcMar>
          </w:tcPr>
          <w:p>
            <w:pPr>
              <w:jc w:val="center"/>
            </w:pPr>
            <w:r>
              <w:rPr>
                <w:sz w:val="14"/>
              </w:rPr>
              <w:t>2</w:t>
            </w:r>
          </w:p>
        </w:tc>
        <w:tc>
          <w:tcPr>
            <w:tcW w:type="dxa" w:w="2160"/>
            <w:shd w:fill="FFFFFF"/>
            <w:tcMar>
              <w:top w:w="50" w:type="dxa"/>
              <w:bottom w:w="50" w:type="dxa"/>
              <w:left w:w="50" w:type="dxa"/>
              <w:right w:w="50" w:type="dxa"/>
            </w:tcMar>
          </w:tcPr>
          <w:p>
            <w:pPr>
              <w:jc w:val="left"/>
            </w:pPr>
            <w:r>
              <w:rPr>
                <w:sz w:val="14"/>
              </w:rPr>
              <w:t>RFID Reader &amp; Card</w:t>
            </w:r>
          </w:p>
        </w:tc>
        <w:tc>
          <w:tcPr>
            <w:tcW w:type="dxa" w:w="2016"/>
            <w:shd w:fill="FFFFFF"/>
            <w:tcMar>
              <w:top w:w="50" w:type="dxa"/>
              <w:bottom w:w="50" w:type="dxa"/>
              <w:left w:w="50" w:type="dxa"/>
              <w:right w:w="50" w:type="dxa"/>
            </w:tcMar>
          </w:tcPr>
          <w:p>
            <w:pPr>
              <w:jc w:val="left"/>
            </w:pPr>
            <w:r>
              <w:rPr>
                <w:sz w:val="14"/>
              </w:rPr>
              <w:t>MFRC522 High-Frequency RFID Module (13.56 MHz, SPI) + Patient Card</w:t>
            </w:r>
          </w:p>
        </w:tc>
        <w:tc>
          <w:tcPr>
            <w:tcW w:type="dxa" w:w="2592"/>
            <w:shd w:fill="FFFFFF"/>
            <w:tcMar>
              <w:top w:w="50" w:type="dxa"/>
              <w:bottom w:w="50" w:type="dxa"/>
              <w:left w:w="50" w:type="dxa"/>
              <w:right w:w="50" w:type="dxa"/>
            </w:tcMar>
          </w:tcPr>
          <w:p>
            <w:pPr>
              <w:jc w:val="left"/>
            </w:pPr>
            <w:r>
              <w:rPr>
                <w:sz w:val="14"/>
              </w:rPr>
              <w:t>Operating voltage: 3.3V ONLY; SPI: GPIO 5 (SS), 15 (RST), 18 (SCK), 19 (MISO), 23 (MOSI)</w:t>
            </w:r>
          </w:p>
        </w:tc>
        <w:tc>
          <w:tcPr>
            <w:tcW w:type="dxa" w:w="2592"/>
            <w:shd w:fill="FFFFFF"/>
            <w:tcMar>
              <w:top w:w="50" w:type="dxa"/>
              <w:bottom w:w="50" w:type="dxa"/>
              <w:left w:w="50" w:type="dxa"/>
              <w:right w:w="50" w:type="dxa"/>
            </w:tcMar>
          </w:tcPr>
          <w:p>
            <w:pPr>
              <w:jc w:val="left"/>
            </w:pPr>
            <w:r>
              <w:rPr>
                <w:sz w:val="14"/>
              </w:rPr>
              <w:t>Authenticates registered patient card before releasing servo lid latch.</w:t>
            </w:r>
          </w:p>
        </w:tc>
      </w:tr>
      <w:tr>
        <w:tc>
          <w:tcPr>
            <w:tcW w:type="dxa" w:w="432"/>
            <w:shd w:fill="F8FAFC"/>
            <w:tcMar>
              <w:top w:w="50" w:type="dxa"/>
              <w:bottom w:w="50" w:type="dxa"/>
              <w:left w:w="50" w:type="dxa"/>
              <w:right w:w="50" w:type="dxa"/>
            </w:tcMar>
          </w:tcPr>
          <w:p>
            <w:pPr>
              <w:jc w:val="center"/>
            </w:pPr>
            <w:r>
              <w:rPr>
                <w:sz w:val="14"/>
              </w:rPr>
              <w:t>3</w:t>
            </w:r>
          </w:p>
        </w:tc>
        <w:tc>
          <w:tcPr>
            <w:tcW w:type="dxa" w:w="2160"/>
            <w:shd w:fill="F8FAFC"/>
            <w:tcMar>
              <w:top w:w="50" w:type="dxa"/>
              <w:bottom w:w="50" w:type="dxa"/>
              <w:left w:w="50" w:type="dxa"/>
              <w:right w:w="50" w:type="dxa"/>
            </w:tcMar>
          </w:tcPr>
          <w:p>
            <w:pPr>
              <w:jc w:val="left"/>
            </w:pPr>
            <w:r>
              <w:rPr>
                <w:sz w:val="14"/>
              </w:rPr>
              <w:t>Real-Time Clock (RTC)</w:t>
            </w:r>
          </w:p>
        </w:tc>
        <w:tc>
          <w:tcPr>
            <w:tcW w:type="dxa" w:w="2016"/>
            <w:shd w:fill="F8FAFC"/>
            <w:tcMar>
              <w:top w:w="50" w:type="dxa"/>
              <w:bottom w:w="50" w:type="dxa"/>
              <w:left w:w="50" w:type="dxa"/>
              <w:right w:w="50" w:type="dxa"/>
            </w:tcMar>
          </w:tcPr>
          <w:p>
            <w:pPr>
              <w:jc w:val="left"/>
            </w:pPr>
            <w:r>
              <w:rPr>
                <w:sz w:val="14"/>
              </w:rPr>
              <w:t>DS1307 Real-Time Clock Module + CR2032 Lithium Coin Cell Backup</w:t>
            </w:r>
          </w:p>
        </w:tc>
        <w:tc>
          <w:tcPr>
            <w:tcW w:type="dxa" w:w="2592"/>
            <w:shd w:fill="F8FAFC"/>
            <w:tcMar>
              <w:top w:w="50" w:type="dxa"/>
              <w:bottom w:w="50" w:type="dxa"/>
              <w:left w:w="50" w:type="dxa"/>
              <w:right w:w="50" w:type="dxa"/>
            </w:tcMar>
          </w:tcPr>
          <w:p>
            <w:pPr>
              <w:jc w:val="left"/>
            </w:pPr>
            <w:r>
              <w:rPr>
                <w:sz w:val="14"/>
              </w:rPr>
              <w:t>Operating voltage: 4.5V-5.5V; I2C: GPIO 21 (SDA), GPIO 22 (SCL); Backup duration: &gt; 5 years</w:t>
            </w:r>
          </w:p>
        </w:tc>
        <w:tc>
          <w:tcPr>
            <w:tcW w:type="dxa" w:w="2592"/>
            <w:shd w:fill="F8FAFC"/>
            <w:tcMar>
              <w:top w:w="50" w:type="dxa"/>
              <w:bottom w:w="50" w:type="dxa"/>
              <w:left w:w="50" w:type="dxa"/>
              <w:right w:w="50" w:type="dxa"/>
            </w:tcMar>
          </w:tcPr>
          <w:p>
            <w:pPr>
              <w:jc w:val="left"/>
            </w:pPr>
            <w:r>
              <w:rPr>
                <w:sz w:val="14"/>
              </w:rPr>
              <w:t>Maintains exact timekeeping across power cuts; triggers scheduled doses.</w:t>
            </w:r>
          </w:p>
        </w:tc>
      </w:tr>
      <w:tr>
        <w:tc>
          <w:tcPr>
            <w:tcW w:type="dxa" w:w="432"/>
            <w:shd w:fill="FFFFFF"/>
            <w:tcMar>
              <w:top w:w="50" w:type="dxa"/>
              <w:bottom w:w="50" w:type="dxa"/>
              <w:left w:w="50" w:type="dxa"/>
              <w:right w:w="50" w:type="dxa"/>
            </w:tcMar>
          </w:tcPr>
          <w:p>
            <w:pPr>
              <w:jc w:val="center"/>
            </w:pPr>
            <w:r>
              <w:rPr>
                <w:sz w:val="14"/>
              </w:rPr>
              <w:t>4</w:t>
            </w:r>
          </w:p>
        </w:tc>
        <w:tc>
          <w:tcPr>
            <w:tcW w:type="dxa" w:w="2160"/>
            <w:shd w:fill="FFFFFF"/>
            <w:tcMar>
              <w:top w:w="50" w:type="dxa"/>
              <w:bottom w:w="50" w:type="dxa"/>
              <w:left w:w="50" w:type="dxa"/>
              <w:right w:w="50" w:type="dxa"/>
            </w:tcMar>
          </w:tcPr>
          <w:p>
            <w:pPr>
              <w:jc w:val="left"/>
            </w:pPr>
            <w:r>
              <w:rPr>
                <w:sz w:val="14"/>
              </w:rPr>
              <w:t>Environmental Sensor</w:t>
            </w:r>
          </w:p>
        </w:tc>
        <w:tc>
          <w:tcPr>
            <w:tcW w:type="dxa" w:w="2016"/>
            <w:shd w:fill="FFFFFF"/>
            <w:tcMar>
              <w:top w:w="50" w:type="dxa"/>
              <w:bottom w:w="50" w:type="dxa"/>
              <w:left w:w="50" w:type="dxa"/>
              <w:right w:w="50" w:type="dxa"/>
            </w:tcMar>
          </w:tcPr>
          <w:p>
            <w:pPr>
              <w:jc w:val="left"/>
            </w:pPr>
            <w:r>
              <w:rPr>
                <w:sz w:val="14"/>
              </w:rPr>
              <w:t>DHT22 / AM2302 Capacitive Humidity &amp; NTC Thermistor</w:t>
            </w:r>
          </w:p>
        </w:tc>
        <w:tc>
          <w:tcPr>
            <w:tcW w:type="dxa" w:w="2592"/>
            <w:shd w:fill="FFFFFF"/>
            <w:tcMar>
              <w:top w:w="50" w:type="dxa"/>
              <w:bottom w:w="50" w:type="dxa"/>
              <w:left w:w="50" w:type="dxa"/>
              <w:right w:w="50" w:type="dxa"/>
            </w:tcMar>
          </w:tcPr>
          <w:p>
            <w:pPr>
              <w:jc w:val="left"/>
            </w:pPr>
            <w:r>
              <w:rPr>
                <w:sz w:val="14"/>
              </w:rPr>
              <w:t>Operating voltage: 3.3V; 1-wire: GPIO 4 with 10 kΩ pull-up; Temp ±0.5°C, RH ±2%</w:t>
            </w:r>
          </w:p>
        </w:tc>
        <w:tc>
          <w:tcPr>
            <w:tcW w:type="dxa" w:w="2592"/>
            <w:shd w:fill="FFFFFF"/>
            <w:tcMar>
              <w:top w:w="50" w:type="dxa"/>
              <w:bottom w:w="50" w:type="dxa"/>
              <w:left w:w="50" w:type="dxa"/>
              <w:right w:w="50" w:type="dxa"/>
            </w:tcMar>
          </w:tcPr>
          <w:p>
            <w:pPr>
              <w:jc w:val="left"/>
            </w:pPr>
            <w:r>
              <w:rPr>
                <w:sz w:val="14"/>
              </w:rPr>
              <w:t>Monitors storage microclimate inside pill compartment to feed ASAP degradation twin.</w:t>
            </w:r>
          </w:p>
        </w:tc>
      </w:tr>
      <w:tr>
        <w:tc>
          <w:tcPr>
            <w:tcW w:type="dxa" w:w="432"/>
            <w:shd w:fill="F8FAFC"/>
            <w:tcMar>
              <w:top w:w="50" w:type="dxa"/>
              <w:bottom w:w="50" w:type="dxa"/>
              <w:left w:w="50" w:type="dxa"/>
              <w:right w:w="50" w:type="dxa"/>
            </w:tcMar>
          </w:tcPr>
          <w:p>
            <w:pPr>
              <w:jc w:val="center"/>
            </w:pPr>
            <w:r>
              <w:rPr>
                <w:sz w:val="14"/>
              </w:rPr>
              <w:t>5</w:t>
            </w:r>
          </w:p>
        </w:tc>
        <w:tc>
          <w:tcPr>
            <w:tcW w:type="dxa" w:w="2160"/>
            <w:shd w:fill="F8FAFC"/>
            <w:tcMar>
              <w:top w:w="50" w:type="dxa"/>
              <w:bottom w:w="50" w:type="dxa"/>
              <w:left w:w="50" w:type="dxa"/>
              <w:right w:w="50" w:type="dxa"/>
            </w:tcMar>
          </w:tcPr>
          <w:p>
            <w:pPr>
              <w:jc w:val="left"/>
            </w:pPr>
            <w:r>
              <w:rPr>
                <w:sz w:val="14"/>
              </w:rPr>
              <w:t>Rotary Actuator (Lid Latch)</w:t>
            </w:r>
          </w:p>
        </w:tc>
        <w:tc>
          <w:tcPr>
            <w:tcW w:type="dxa" w:w="2016"/>
            <w:shd w:fill="F8FAFC"/>
            <w:tcMar>
              <w:top w:w="50" w:type="dxa"/>
              <w:bottom w:w="50" w:type="dxa"/>
              <w:left w:w="50" w:type="dxa"/>
              <w:right w:w="50" w:type="dxa"/>
            </w:tcMar>
          </w:tcPr>
          <w:p>
            <w:pPr>
              <w:jc w:val="left"/>
            </w:pPr>
            <w:r>
              <w:rPr>
                <w:sz w:val="14"/>
              </w:rPr>
              <w:t>TowerPro SG90 Micro-Servo Motor</w:t>
            </w:r>
          </w:p>
        </w:tc>
        <w:tc>
          <w:tcPr>
            <w:tcW w:type="dxa" w:w="2592"/>
            <w:shd w:fill="F8FAFC"/>
            <w:tcMar>
              <w:top w:w="50" w:type="dxa"/>
              <w:bottom w:w="50" w:type="dxa"/>
              <w:left w:w="50" w:type="dxa"/>
              <w:right w:w="50" w:type="dxa"/>
            </w:tcMar>
          </w:tcPr>
          <w:p>
            <w:pPr>
              <w:jc w:val="left"/>
            </w:pPr>
            <w:r>
              <w:rPr>
                <w:sz w:val="14"/>
              </w:rPr>
              <w:t>Operating voltage: 5V (separate branch recommended); PWM: GPIO 13 (orange signal); Torque: 1.8 kg-cm</w:t>
            </w:r>
          </w:p>
        </w:tc>
        <w:tc>
          <w:tcPr>
            <w:tcW w:type="dxa" w:w="2592"/>
            <w:shd w:fill="F8FAFC"/>
            <w:tcMar>
              <w:top w:w="50" w:type="dxa"/>
              <w:bottom w:w="50" w:type="dxa"/>
              <w:left w:w="50" w:type="dxa"/>
              <w:right w:w="50" w:type="dxa"/>
            </w:tcMar>
          </w:tcPr>
          <w:p>
            <w:pPr>
              <w:jc w:val="left"/>
            </w:pPr>
            <w:r>
              <w:rPr>
                <w:sz w:val="14"/>
              </w:rPr>
              <w:t>Actuates lid latch to unlock pill compartment (0° locked, 90° unlocked).</w:t>
            </w:r>
          </w:p>
        </w:tc>
      </w:tr>
      <w:tr>
        <w:tc>
          <w:tcPr>
            <w:tcW w:type="dxa" w:w="432"/>
            <w:shd w:fill="FFFFFF"/>
            <w:tcMar>
              <w:top w:w="50" w:type="dxa"/>
              <w:bottom w:w="50" w:type="dxa"/>
              <w:left w:w="50" w:type="dxa"/>
              <w:right w:w="50" w:type="dxa"/>
            </w:tcMar>
          </w:tcPr>
          <w:p>
            <w:pPr>
              <w:jc w:val="center"/>
            </w:pPr>
            <w:r>
              <w:rPr>
                <w:sz w:val="14"/>
              </w:rPr>
              <w:t>6</w:t>
            </w:r>
          </w:p>
        </w:tc>
        <w:tc>
          <w:tcPr>
            <w:tcW w:type="dxa" w:w="2160"/>
            <w:shd w:fill="FFFFFF"/>
            <w:tcMar>
              <w:top w:w="50" w:type="dxa"/>
              <w:bottom w:w="50" w:type="dxa"/>
              <w:left w:w="50" w:type="dxa"/>
              <w:right w:w="50" w:type="dxa"/>
            </w:tcMar>
          </w:tcPr>
          <w:p>
            <w:pPr>
              <w:jc w:val="left"/>
            </w:pPr>
            <w:r>
              <w:rPr>
                <w:sz w:val="14"/>
              </w:rPr>
              <w:t>Manual Acknowledge Button</w:t>
            </w:r>
          </w:p>
        </w:tc>
        <w:tc>
          <w:tcPr>
            <w:tcW w:type="dxa" w:w="2016"/>
            <w:shd w:fill="FFFFFF"/>
            <w:tcMar>
              <w:top w:w="50" w:type="dxa"/>
              <w:bottom w:w="50" w:type="dxa"/>
              <w:left w:w="50" w:type="dxa"/>
              <w:right w:w="50" w:type="dxa"/>
            </w:tcMar>
          </w:tcPr>
          <w:p>
            <w:pPr>
              <w:jc w:val="left"/>
            </w:pPr>
            <w:r>
              <w:rPr>
                <w:sz w:val="14"/>
              </w:rPr>
              <w:t>Tactile Push Button (Normally Open, Momentary)</w:t>
            </w:r>
          </w:p>
        </w:tc>
        <w:tc>
          <w:tcPr>
            <w:tcW w:type="dxa" w:w="2592"/>
            <w:shd w:fill="FFFFFF"/>
            <w:tcMar>
              <w:top w:w="50" w:type="dxa"/>
              <w:bottom w:w="50" w:type="dxa"/>
              <w:left w:w="50" w:type="dxa"/>
              <w:right w:w="50" w:type="dxa"/>
            </w:tcMar>
          </w:tcPr>
          <w:p>
            <w:pPr>
              <w:jc w:val="left"/>
            </w:pPr>
            <w:r>
              <w:rPr>
                <w:sz w:val="14"/>
              </w:rPr>
              <w:t>GPIO 12 to GND with internal pull-up (Note: boot-strapping pin, don't hold during power-on)</w:t>
            </w:r>
          </w:p>
        </w:tc>
        <w:tc>
          <w:tcPr>
            <w:tcW w:type="dxa" w:w="2592"/>
            <w:shd w:fill="FFFFFF"/>
            <w:tcMar>
              <w:top w:w="50" w:type="dxa"/>
              <w:bottom w:w="50" w:type="dxa"/>
              <w:left w:w="50" w:type="dxa"/>
              <w:right w:w="50" w:type="dxa"/>
            </w:tcMar>
          </w:tcPr>
          <w:p>
            <w:pPr>
              <w:jc w:val="left"/>
            </w:pPr>
            <w:r>
              <w:rPr>
                <w:sz w:val="14"/>
              </w:rPr>
              <w:t>Allows patient to manually confirm physical dose retrieval after unlocking.</w:t>
            </w:r>
          </w:p>
        </w:tc>
      </w:tr>
      <w:tr>
        <w:tc>
          <w:tcPr>
            <w:tcW w:type="dxa" w:w="432"/>
            <w:shd w:fill="F8FAFC"/>
            <w:tcMar>
              <w:top w:w="50" w:type="dxa"/>
              <w:bottom w:w="50" w:type="dxa"/>
              <w:left w:w="50" w:type="dxa"/>
              <w:right w:w="50" w:type="dxa"/>
            </w:tcMar>
          </w:tcPr>
          <w:p>
            <w:pPr>
              <w:jc w:val="center"/>
            </w:pPr>
            <w:r>
              <w:rPr>
                <w:sz w:val="14"/>
              </w:rPr>
              <w:t>7</w:t>
            </w:r>
          </w:p>
        </w:tc>
        <w:tc>
          <w:tcPr>
            <w:tcW w:type="dxa" w:w="2160"/>
            <w:shd w:fill="F8FAFC"/>
            <w:tcMar>
              <w:top w:w="50" w:type="dxa"/>
              <w:bottom w:w="50" w:type="dxa"/>
              <w:left w:w="50" w:type="dxa"/>
              <w:right w:w="50" w:type="dxa"/>
            </w:tcMar>
          </w:tcPr>
          <w:p>
            <w:pPr>
              <w:jc w:val="left"/>
            </w:pPr>
            <w:r>
              <w:rPr>
                <w:sz w:val="14"/>
              </w:rPr>
              <w:t>Auditory Alarm Transducer</w:t>
            </w:r>
          </w:p>
        </w:tc>
        <w:tc>
          <w:tcPr>
            <w:tcW w:type="dxa" w:w="2016"/>
            <w:shd w:fill="F8FAFC"/>
            <w:tcMar>
              <w:top w:w="50" w:type="dxa"/>
              <w:bottom w:w="50" w:type="dxa"/>
              <w:left w:w="50" w:type="dxa"/>
              <w:right w:w="50" w:type="dxa"/>
            </w:tcMar>
          </w:tcPr>
          <w:p>
            <w:pPr>
              <w:jc w:val="left"/>
            </w:pPr>
            <w:r>
              <w:rPr>
                <w:sz w:val="14"/>
              </w:rPr>
              <w:t>Active Electromagnetic 5V Piezo Buzzer</w:t>
            </w:r>
          </w:p>
        </w:tc>
        <w:tc>
          <w:tcPr>
            <w:tcW w:type="dxa" w:w="2592"/>
            <w:shd w:fill="F8FAFC"/>
            <w:tcMar>
              <w:top w:w="50" w:type="dxa"/>
              <w:bottom w:w="50" w:type="dxa"/>
              <w:left w:w="50" w:type="dxa"/>
              <w:right w:w="50" w:type="dxa"/>
            </w:tcMar>
          </w:tcPr>
          <w:p>
            <w:pPr>
              <w:jc w:val="left"/>
            </w:pPr>
            <w:r>
              <w:rPr>
                <w:sz w:val="14"/>
              </w:rPr>
              <w:t>GPIO 27; Sound pressure: 85 dB at 10 cm; Resonant freq: 2300 Hz</w:t>
            </w:r>
          </w:p>
        </w:tc>
        <w:tc>
          <w:tcPr>
            <w:tcW w:type="dxa" w:w="2592"/>
            <w:shd w:fill="F8FAFC"/>
            <w:tcMar>
              <w:top w:w="50" w:type="dxa"/>
              <w:bottom w:w="50" w:type="dxa"/>
              <w:left w:w="50" w:type="dxa"/>
              <w:right w:w="50" w:type="dxa"/>
            </w:tcMar>
          </w:tcPr>
          <w:p>
            <w:pPr>
              <w:jc w:val="left"/>
            </w:pPr>
            <w:r>
              <w:rPr>
                <w:sz w:val="14"/>
              </w:rPr>
              <w:t>Emits audible reminder beeps during DUE state until dose is dispensed.</w:t>
            </w:r>
          </w:p>
        </w:tc>
      </w:tr>
      <w:tr>
        <w:tc>
          <w:tcPr>
            <w:tcW w:type="dxa" w:w="432"/>
            <w:shd w:fill="FFFFFF"/>
            <w:tcMar>
              <w:top w:w="50" w:type="dxa"/>
              <w:bottom w:w="50" w:type="dxa"/>
              <w:left w:w="50" w:type="dxa"/>
              <w:right w:w="50" w:type="dxa"/>
            </w:tcMar>
          </w:tcPr>
          <w:p>
            <w:pPr>
              <w:jc w:val="center"/>
            </w:pPr>
            <w:r>
              <w:rPr>
                <w:sz w:val="14"/>
              </w:rPr>
              <w:t>8</w:t>
            </w:r>
          </w:p>
        </w:tc>
        <w:tc>
          <w:tcPr>
            <w:tcW w:type="dxa" w:w="2160"/>
            <w:shd w:fill="FFFFFF"/>
            <w:tcMar>
              <w:top w:w="50" w:type="dxa"/>
              <w:bottom w:w="50" w:type="dxa"/>
              <w:left w:w="50" w:type="dxa"/>
              <w:right w:w="50" w:type="dxa"/>
            </w:tcMar>
          </w:tcPr>
          <w:p>
            <w:pPr>
              <w:jc w:val="left"/>
            </w:pPr>
            <w:r>
              <w:rPr>
                <w:sz w:val="14"/>
              </w:rPr>
              <w:t>Power Distribution Network</w:t>
            </w:r>
          </w:p>
        </w:tc>
        <w:tc>
          <w:tcPr>
            <w:tcW w:type="dxa" w:w="2016"/>
            <w:shd w:fill="FFFFFF"/>
            <w:tcMar>
              <w:top w:w="50" w:type="dxa"/>
              <w:bottom w:w="50" w:type="dxa"/>
              <w:left w:w="50" w:type="dxa"/>
              <w:right w:w="50" w:type="dxa"/>
            </w:tcMar>
          </w:tcPr>
          <w:p>
            <w:pPr>
              <w:jc w:val="left"/>
            </w:pPr>
            <w:r>
              <w:rPr>
                <w:sz w:val="14"/>
              </w:rPr>
              <w:t>5V DC Supply (USB adapter / power bank, &gt;= 2A) + On-board 3.3V LDO</w:t>
            </w:r>
          </w:p>
        </w:tc>
        <w:tc>
          <w:tcPr>
            <w:tcW w:type="dxa" w:w="2592"/>
            <w:shd w:fill="FFFFFF"/>
            <w:tcMar>
              <w:top w:w="50" w:type="dxa"/>
              <w:bottom w:w="50" w:type="dxa"/>
              <w:left w:w="50" w:type="dxa"/>
              <w:right w:w="50" w:type="dxa"/>
            </w:tcMar>
          </w:tcPr>
          <w:p>
            <w:pPr>
              <w:jc w:val="left"/>
            </w:pPr>
            <w:r>
              <w:rPr>
                <w:sz w:val="14"/>
              </w:rPr>
              <w:t>5V rail powers DS1307, SG90, ESP32 VIN; 3.3V rail powers RC522, DHT22; Common Ground</w:t>
            </w:r>
          </w:p>
        </w:tc>
        <w:tc>
          <w:tcPr>
            <w:tcW w:type="dxa" w:w="2592"/>
            <w:shd w:fill="FFFFFF"/>
            <w:tcMar>
              <w:top w:w="50" w:type="dxa"/>
              <w:bottom w:w="50" w:type="dxa"/>
              <w:left w:w="50" w:type="dxa"/>
              <w:right w:w="50" w:type="dxa"/>
            </w:tcMar>
          </w:tcPr>
          <w:p>
            <w:pPr>
              <w:jc w:val="left"/>
            </w:pPr>
            <w:r>
              <w:rPr>
                <w:sz w:val="14"/>
              </w:rPr>
              <w:t>Delivers clean, decoupled power branches preventing servo motor brownout on MCU.</w:t>
            </w:r>
          </w:p>
        </w:tc>
      </w:tr>
      <w:tr>
        <w:tc>
          <w:tcPr>
            <w:tcW w:type="dxa" w:w="432"/>
            <w:shd w:fill="F8FAFC"/>
            <w:tcMar>
              <w:top w:w="50" w:type="dxa"/>
              <w:bottom w:w="50" w:type="dxa"/>
              <w:left w:w="50" w:type="dxa"/>
              <w:right w:w="50" w:type="dxa"/>
            </w:tcMar>
          </w:tcPr>
          <w:p>
            <w:pPr>
              <w:jc w:val="center"/>
            </w:pPr>
            <w:r>
              <w:rPr>
                <w:sz w:val="14"/>
              </w:rPr>
              <w:t>9</w:t>
            </w:r>
          </w:p>
        </w:tc>
        <w:tc>
          <w:tcPr>
            <w:tcW w:type="dxa" w:w="2160"/>
            <w:shd w:fill="F8FAFC"/>
            <w:tcMar>
              <w:top w:w="50" w:type="dxa"/>
              <w:bottom w:w="50" w:type="dxa"/>
              <w:left w:w="50" w:type="dxa"/>
              <w:right w:w="50" w:type="dxa"/>
            </w:tcMar>
          </w:tcPr>
          <w:p>
            <w:pPr>
              <w:jc w:val="left"/>
            </w:pPr>
            <w:r>
              <w:rPr>
                <w:sz w:val="14"/>
              </w:rPr>
              <w:t>Edge Cryptographic Storage</w:t>
            </w:r>
          </w:p>
        </w:tc>
        <w:tc>
          <w:tcPr>
            <w:tcW w:type="dxa" w:w="2016"/>
            <w:shd w:fill="F8FAFC"/>
            <w:tcMar>
              <w:top w:w="50" w:type="dxa"/>
              <w:bottom w:w="50" w:type="dxa"/>
              <w:left w:w="50" w:type="dxa"/>
              <w:right w:w="50" w:type="dxa"/>
            </w:tcMar>
          </w:tcPr>
          <w:p>
            <w:pPr>
              <w:jc w:val="left"/>
            </w:pPr>
            <w:r>
              <w:rPr>
                <w:sz w:val="14"/>
              </w:rPr>
              <w:t>LittleFS Flash Partition (On-Chip SPI Flash)</w:t>
            </w:r>
          </w:p>
        </w:tc>
        <w:tc>
          <w:tcPr>
            <w:tcW w:type="dxa" w:w="2592"/>
            <w:shd w:fill="F8FAFC"/>
            <w:tcMar>
              <w:top w:w="50" w:type="dxa"/>
              <w:bottom w:w="50" w:type="dxa"/>
              <w:left w:w="50" w:type="dxa"/>
              <w:right w:w="50" w:type="dxa"/>
            </w:tcMar>
          </w:tcPr>
          <w:p>
            <w:pPr>
              <w:jc w:val="left"/>
            </w:pPr>
            <w:r>
              <w:rPr>
                <w:sz w:val="14"/>
              </w:rPr>
              <w:t>Partition size: 1.5 MB; Block size: 4096 bytes; JSON Lines format (/meds.json, /logs.jsonl)</w:t>
            </w:r>
          </w:p>
        </w:tc>
        <w:tc>
          <w:tcPr>
            <w:tcW w:type="dxa" w:w="2592"/>
            <w:shd w:fill="F8FAFC"/>
            <w:tcMar>
              <w:top w:w="50" w:type="dxa"/>
              <w:bottom w:w="50" w:type="dxa"/>
              <w:left w:w="50" w:type="dxa"/>
              <w:right w:w="50" w:type="dxa"/>
            </w:tcMar>
          </w:tcPr>
          <w:p>
            <w:pPr>
              <w:jc w:val="left"/>
            </w:pPr>
            <w:r>
              <w:rPr>
                <w:sz w:val="14"/>
              </w:rPr>
              <w:t>Maintains immutable, append-only adherence logs with NVS log counter.</w:t>
            </w:r>
          </w:p>
        </w:tc>
      </w:tr>
      <w:tr>
        <w:tc>
          <w:tcPr>
            <w:tcW w:type="dxa" w:w="432"/>
            <w:shd w:fill="FFFFFF"/>
            <w:tcMar>
              <w:top w:w="50" w:type="dxa"/>
              <w:bottom w:w="50" w:type="dxa"/>
              <w:left w:w="50" w:type="dxa"/>
              <w:right w:w="50" w:type="dxa"/>
            </w:tcMar>
          </w:tcPr>
          <w:p>
            <w:pPr>
              <w:jc w:val="center"/>
            </w:pPr>
            <w:r>
              <w:rPr>
                <w:sz w:val="14"/>
              </w:rPr>
              <w:t>10</w:t>
            </w:r>
          </w:p>
        </w:tc>
        <w:tc>
          <w:tcPr>
            <w:tcW w:type="dxa" w:w="2160"/>
            <w:shd w:fill="FFFFFF"/>
            <w:tcMar>
              <w:top w:w="50" w:type="dxa"/>
              <w:bottom w:w="50" w:type="dxa"/>
              <w:left w:w="50" w:type="dxa"/>
              <w:right w:w="50" w:type="dxa"/>
            </w:tcMar>
          </w:tcPr>
          <w:p>
            <w:pPr>
              <w:jc w:val="left"/>
            </w:pPr>
            <w:r>
              <w:rPr>
                <w:sz w:val="14"/>
              </w:rPr>
              <w:t>Embedded Web Server</w:t>
            </w:r>
          </w:p>
        </w:tc>
        <w:tc>
          <w:tcPr>
            <w:tcW w:type="dxa" w:w="2016"/>
            <w:shd w:fill="FFFFFF"/>
            <w:tcMar>
              <w:top w:w="50" w:type="dxa"/>
              <w:bottom w:w="50" w:type="dxa"/>
              <w:left w:w="50" w:type="dxa"/>
              <w:right w:w="50" w:type="dxa"/>
            </w:tcMar>
          </w:tcPr>
          <w:p>
            <w:pPr>
              <w:jc w:val="left"/>
            </w:pPr>
            <w:r>
              <w:rPr>
                <w:sz w:val="14"/>
              </w:rPr>
              <w:t>ESPAsyncWebServer + WebApp Header (webapp.h)</w:t>
            </w:r>
          </w:p>
        </w:tc>
        <w:tc>
          <w:tcPr>
            <w:tcW w:type="dxa" w:w="2592"/>
            <w:shd w:fill="FFFFFF"/>
            <w:tcMar>
              <w:top w:w="50" w:type="dxa"/>
              <w:bottom w:w="50" w:type="dxa"/>
              <w:left w:w="50" w:type="dxa"/>
              <w:right w:w="50" w:type="dxa"/>
            </w:tcMar>
          </w:tcPr>
          <w:p>
            <w:pPr>
              <w:jc w:val="left"/>
            </w:pPr>
            <w:r>
              <w:rPr>
                <w:sz w:val="14"/>
              </w:rPr>
              <w:t>Port 80 HTTP; Wi-Fi Soft-AP ('MediShield-AP') and Station modes; mDNS: pillbox.local</w:t>
            </w:r>
          </w:p>
        </w:tc>
        <w:tc>
          <w:tcPr>
            <w:tcW w:type="dxa" w:w="2592"/>
            <w:shd w:fill="FFFFFF"/>
            <w:tcMar>
              <w:top w:w="50" w:type="dxa"/>
              <w:bottom w:w="50" w:type="dxa"/>
              <w:left w:w="50" w:type="dxa"/>
              <w:right w:w="50" w:type="dxa"/>
            </w:tcMar>
          </w:tcPr>
          <w:p>
            <w:pPr>
              <w:jc w:val="left"/>
            </w:pPr>
            <w:r>
              <w:rPr>
                <w:sz w:val="14"/>
              </w:rPr>
              <w:t>Serves embedded app and REST API endpoints (/api/status, /api/dispense, /api/logs).</w:t>
            </w:r>
          </w:p>
        </w:tc>
      </w:tr>
      <w:tr>
        <w:tc>
          <w:tcPr>
            <w:tcW w:type="dxa" w:w="432"/>
            <w:shd w:fill="F8FAFC"/>
            <w:tcMar>
              <w:top w:w="50" w:type="dxa"/>
              <w:bottom w:w="50" w:type="dxa"/>
              <w:left w:w="50" w:type="dxa"/>
              <w:right w:w="50" w:type="dxa"/>
            </w:tcMar>
          </w:tcPr>
          <w:p>
            <w:pPr>
              <w:jc w:val="center"/>
            </w:pPr>
            <w:r>
              <w:rPr>
                <w:sz w:val="14"/>
              </w:rPr>
              <w:t>11</w:t>
            </w:r>
          </w:p>
        </w:tc>
        <w:tc>
          <w:tcPr>
            <w:tcW w:type="dxa" w:w="2160"/>
            <w:shd w:fill="F8FAFC"/>
            <w:tcMar>
              <w:top w:w="50" w:type="dxa"/>
              <w:bottom w:w="50" w:type="dxa"/>
              <w:left w:w="50" w:type="dxa"/>
              <w:right w:w="50" w:type="dxa"/>
            </w:tcMar>
          </w:tcPr>
          <w:p>
            <w:pPr>
              <w:jc w:val="left"/>
            </w:pPr>
            <w:r>
              <w:rPr>
                <w:sz w:val="14"/>
              </w:rPr>
              <w:t>Client-Side Bio-Intelligence</w:t>
            </w:r>
          </w:p>
        </w:tc>
        <w:tc>
          <w:tcPr>
            <w:tcW w:type="dxa" w:w="2016"/>
            <w:shd w:fill="F8FAFC"/>
            <w:tcMar>
              <w:top w:w="50" w:type="dxa"/>
              <w:bottom w:w="50" w:type="dxa"/>
              <w:left w:w="50" w:type="dxa"/>
              <w:right w:w="50" w:type="dxa"/>
            </w:tcMar>
          </w:tcPr>
          <w:p>
            <w:pPr>
              <w:jc w:val="left"/>
            </w:pPr>
            <w:r>
              <w:rPr>
                <w:sz w:val="14"/>
              </w:rPr>
              <w:t>React 18.3 + Vite SPA (Client-side execution)</w:t>
            </w:r>
          </w:p>
        </w:tc>
        <w:tc>
          <w:tcPr>
            <w:tcW w:type="dxa" w:w="2592"/>
            <w:shd w:fill="F8FAFC"/>
            <w:tcMar>
              <w:top w:w="50" w:type="dxa"/>
              <w:bottom w:w="50" w:type="dxa"/>
              <w:left w:w="50" w:type="dxa"/>
              <w:right w:w="50" w:type="dxa"/>
            </w:tcMar>
          </w:tcPr>
          <w:p>
            <w:pPr>
              <w:jc w:val="left"/>
            </w:pPr>
            <w:r>
              <w:rPr>
                <w:sz w:val="14"/>
              </w:rPr>
              <w:t>Bundle size: 774 kB (216 kB gzipped); Zero external cloud dependencies</w:t>
            </w:r>
          </w:p>
        </w:tc>
        <w:tc>
          <w:tcPr>
            <w:tcW w:type="dxa" w:w="2592"/>
            <w:shd w:fill="F8FAFC"/>
            <w:tcMar>
              <w:top w:w="50" w:type="dxa"/>
              <w:bottom w:w="50" w:type="dxa"/>
              <w:left w:w="50" w:type="dxa"/>
              <w:right w:w="50" w:type="dxa"/>
            </w:tcMar>
          </w:tcPr>
          <w:p>
            <w:pPr>
              <w:jc w:val="left"/>
            </w:pPr>
            <w:r>
              <w:rPr>
                <w:sz w:val="14"/>
              </w:rPr>
              <w:t>Hosts patient/doctor dashboard, interactive notification center, and PK/PD engines.</w:t>
            </w:r>
          </w:p>
        </w:tc>
      </w:tr>
      <w:tr>
        <w:tc>
          <w:tcPr>
            <w:tcW w:type="dxa" w:w="432"/>
            <w:shd w:fill="FFFFFF"/>
            <w:tcMar>
              <w:top w:w="50" w:type="dxa"/>
              <w:bottom w:w="50" w:type="dxa"/>
              <w:left w:w="50" w:type="dxa"/>
              <w:right w:w="50" w:type="dxa"/>
            </w:tcMar>
          </w:tcPr>
          <w:p>
            <w:pPr>
              <w:jc w:val="center"/>
            </w:pPr>
            <w:r>
              <w:rPr>
                <w:sz w:val="14"/>
              </w:rPr>
              <w:t>12</w:t>
            </w:r>
          </w:p>
        </w:tc>
        <w:tc>
          <w:tcPr>
            <w:tcW w:type="dxa" w:w="2160"/>
            <w:shd w:fill="FFFFFF"/>
            <w:tcMar>
              <w:top w:w="50" w:type="dxa"/>
              <w:bottom w:w="50" w:type="dxa"/>
              <w:left w:w="50" w:type="dxa"/>
              <w:right w:w="50" w:type="dxa"/>
            </w:tcMar>
          </w:tcPr>
          <w:p>
            <w:pPr>
              <w:jc w:val="left"/>
            </w:pPr>
            <w:r>
              <w:rPr>
                <w:sz w:val="14"/>
              </w:rPr>
              <w:t>In-Silico PK/PD Engine</w:t>
            </w:r>
          </w:p>
        </w:tc>
        <w:tc>
          <w:tcPr>
            <w:tcW w:type="dxa" w:w="2016"/>
            <w:shd w:fill="FFFFFF"/>
            <w:tcMar>
              <w:top w:w="50" w:type="dxa"/>
              <w:bottom w:w="50" w:type="dxa"/>
              <w:left w:w="50" w:type="dxa"/>
              <w:right w:w="50" w:type="dxa"/>
            </w:tcMar>
          </w:tcPr>
          <w:p>
            <w:pPr>
              <w:jc w:val="left"/>
            </w:pPr>
            <w:r>
              <w:rPr>
                <w:sz w:val="14"/>
              </w:rPr>
              <w:t>Bateman Two-Compartment Numerical Solver (JavaScript)</w:t>
            </w:r>
          </w:p>
        </w:tc>
        <w:tc>
          <w:tcPr>
            <w:tcW w:type="dxa" w:w="2592"/>
            <w:shd w:fill="FFFFFF"/>
            <w:tcMar>
              <w:top w:w="50" w:type="dxa"/>
              <w:bottom w:w="50" w:type="dxa"/>
              <w:left w:w="50" w:type="dxa"/>
              <w:right w:w="50" w:type="dxa"/>
            </w:tcMar>
          </w:tcPr>
          <w:p>
            <w:pPr>
              <w:jc w:val="left"/>
            </w:pPr>
            <w:r>
              <w:rPr>
                <w:sz w:val="14"/>
              </w:rPr>
              <w:t>Time step dt = 0.1 hr; Ka = 1.15 /hr; Ke = 0.115 /hr; Vd = 45 L; MEC = 12 ng/mL; MTC = 45 ng/mL</w:t>
            </w:r>
          </w:p>
        </w:tc>
        <w:tc>
          <w:tcPr>
            <w:tcW w:type="dxa" w:w="2592"/>
            <w:shd w:fill="FFFFFF"/>
            <w:tcMar>
              <w:top w:w="50" w:type="dxa"/>
              <w:bottom w:w="50" w:type="dxa"/>
              <w:left w:w="50" w:type="dxa"/>
              <w:right w:w="50" w:type="dxa"/>
            </w:tcMar>
          </w:tcPr>
          <w:p>
            <w:pPr>
              <w:jc w:val="left"/>
            </w:pPr>
            <w:r>
              <w:rPr>
                <w:sz w:val="14"/>
              </w:rPr>
              <w:t>Simulates continuous drug plasma levels and computes safe missed-dose catch-up micro-doses.</w:t>
            </w:r>
          </w:p>
        </w:tc>
      </w:tr>
      <w:tr>
        <w:tc>
          <w:tcPr>
            <w:tcW w:type="dxa" w:w="432"/>
            <w:shd w:fill="F8FAFC"/>
            <w:tcMar>
              <w:top w:w="50" w:type="dxa"/>
              <w:bottom w:w="50" w:type="dxa"/>
              <w:left w:w="50" w:type="dxa"/>
              <w:right w:w="50" w:type="dxa"/>
            </w:tcMar>
          </w:tcPr>
          <w:p>
            <w:pPr>
              <w:jc w:val="center"/>
            </w:pPr>
            <w:r>
              <w:rPr>
                <w:sz w:val="14"/>
              </w:rPr>
              <w:t>13</w:t>
            </w:r>
          </w:p>
        </w:tc>
        <w:tc>
          <w:tcPr>
            <w:tcW w:type="dxa" w:w="2160"/>
            <w:shd w:fill="F8FAFC"/>
            <w:tcMar>
              <w:top w:w="50" w:type="dxa"/>
              <w:bottom w:w="50" w:type="dxa"/>
              <w:left w:w="50" w:type="dxa"/>
              <w:right w:w="50" w:type="dxa"/>
            </w:tcMar>
          </w:tcPr>
          <w:p>
            <w:pPr>
              <w:jc w:val="left"/>
            </w:pPr>
            <w:r>
              <w:rPr>
                <w:sz w:val="14"/>
              </w:rPr>
              <w:t>Degradation Digital Twin</w:t>
            </w:r>
          </w:p>
        </w:tc>
        <w:tc>
          <w:tcPr>
            <w:tcW w:type="dxa" w:w="2016"/>
            <w:shd w:fill="F8FAFC"/>
            <w:tcMar>
              <w:top w:w="50" w:type="dxa"/>
              <w:bottom w:w="50" w:type="dxa"/>
              <w:left w:w="50" w:type="dxa"/>
              <w:right w:w="50" w:type="dxa"/>
            </w:tcMar>
          </w:tcPr>
          <w:p>
            <w:pPr>
              <w:jc w:val="left"/>
            </w:pPr>
            <w:r>
              <w:rPr>
                <w:sz w:val="14"/>
              </w:rPr>
              <w:t>ASAP-Arrhenius Hydrolysis &amp; Humidity Kinetic Twin</w:t>
            </w:r>
          </w:p>
        </w:tc>
        <w:tc>
          <w:tcPr>
            <w:tcW w:type="dxa" w:w="2592"/>
            <w:shd w:fill="F8FAFC"/>
            <w:tcMar>
              <w:top w:w="50" w:type="dxa"/>
              <w:bottom w:w="50" w:type="dxa"/>
              <w:left w:w="50" w:type="dxa"/>
              <w:right w:w="50" w:type="dxa"/>
            </w:tcMar>
          </w:tcPr>
          <w:p>
            <w:pPr>
              <w:jc w:val="left"/>
            </w:pPr>
            <w:r>
              <w:rPr>
                <w:sz w:val="14"/>
              </w:rPr>
              <w:t>Activation energy Ea = 85.4 kJ/mol; Moisture sensitivity B = 0.038 /%RH; Universal gas constant R</w:t>
            </w:r>
          </w:p>
        </w:tc>
        <w:tc>
          <w:tcPr>
            <w:tcW w:type="dxa" w:w="2592"/>
            <w:shd w:fill="F8FAFC"/>
            <w:tcMar>
              <w:top w:w="50" w:type="dxa"/>
              <w:bottom w:w="50" w:type="dxa"/>
              <w:left w:w="50" w:type="dxa"/>
              <w:right w:w="50" w:type="dxa"/>
            </w:tcMar>
          </w:tcPr>
          <w:p>
            <w:pPr>
              <w:jc w:val="left"/>
            </w:pPr>
            <w:r>
              <w:rPr>
                <w:sz w:val="14"/>
              </w:rPr>
              <w:t>Integrates continuous DHT22 telemetry to calculate real-time remaining active ingredient potency.</w:t>
            </w:r>
          </w:p>
        </w:tc>
      </w:tr>
    </w:tbl>
    <w:p>
      <w:pPr>
        <w:spacing w:after="160"/>
      </w:pPr>
    </w:p>
    <w:p>
      <w:pPr>
        <w:spacing w:line="276" w:lineRule="auto" w:after="80"/>
        <w:jc w:val="both"/>
      </w:pPr>
      <w:r>
        <w:rPr>
          <w:b/>
          <w:color w:val="0F172A"/>
        </w:rPr>
        <w:t>4.2 Step-by-step operation — trace one complete cycle of use.</w:t>
      </w:r>
    </w:p>
    <w:p>
      <w:pPr>
        <w:spacing w:line="276" w:lineRule="auto" w:after="160"/>
        <w:jc w:val="both"/>
      </w:pPr>
      <w:r>
        <w:rPr>
          <w:color w:val="1E293B"/>
        </w:rPr>
        <w:t>Tracing one complete operational cycle based on the firmware state machine (Figure 5) and hardware wiring (Figure 2):</w:t>
        <w:br/>
        <w:br/>
        <w:t>1. Input Received (Signal, Sample, User Action):</w:t>
        <w:br/>
        <w:t xml:space="preserve">   At the scheduled medication time, the DS1307 real-time clock (queried via I2C every 5 ms in the main loop) matches a programmed dose in `/meds.json`. The dose state transitions from IDLE to DUE. Alternatively, a remote care command is received via `/api/dispense` from the web app.</w:t>
        <w:br/>
        <w:br/>
        <w:t>2. What Each Part Does and How Parts Interact:</w:t>
        <w:br/>
        <w:t xml:space="preserve">   • The ESP32 triggers GPIO 27, sounding the active buzzer in a rhythmic pulse pattern to alert the patient.</w:t>
        <w:br/>
        <w:t xml:space="preserve">   • The patient taps their personal 13.56 MHz RFID patient card against the RC522 reader.</w:t>
        <w:br/>
        <w:t xml:space="preserve">   • The RC522 transfers the card UID over SPI (GPIO 18 SCK, 19 MISO, 23 MOSI, 5 SS) to the ESP32.</w:t>
        <w:br/>
        <w:t xml:space="preserve">   • Upon UID validation, the state transitions to OPEN: the buzzer silences, and the ESP32 outputs a PWM pulse on GPIO 13, driving the SG90 micro-servo from 0° (locked) to 90° (unlocked).</w:t>
        <w:br/>
        <w:t xml:space="preserve">   • The patient opens the hinged lid, retrieves the scheduled tablet, and presses the CONFIRM button (pulling GPIO 12 to GND).</w:t>
        <w:br/>
        <w:br/>
        <w:t>3. Processing or Calculation Performed:</w:t>
        <w:br/>
        <w:t xml:space="preserve">   • The ESP32 debounces the GPIO 12 press and issues a single-wire query on GPIO 4 to the DHT22 sensor, reading current microclimate temperature (e.g., 22.8°C) and relative humidity (51% RH).</w:t>
        <w:br/>
        <w:t xml:space="preserve">   • The SG90 servo is commanded back to 0° to re-lock the compartment.</w:t>
        <w:br/>
        <w:t xml:space="preserve">   • The event logger constructs an append-only JSON record: `{"time": 1730004000, "med": "Metformin", "status": "taken", "temp": 22.8, "rh": 51}` and appends it to `/logs.jsonl` in LittleFS flash memory while incrementing the non-volatile storage (NVS) log counter.</w:t>
        <w:br/>
        <w:br/>
        <w:t>4. Final Output, Action or Measurable Effect:</w:t>
        <w:br/>
        <w:t xml:space="preserve">   • The web dashboard receives an event update over local Wi-Fi. The in-silico Bateman PK/PD engine computes the absorption influx, plotting the patient's plasma concentration safely above the Minimum Effective Concentration (MEC = 12 ng/mL). The ASAP-Arrhenius twin verifies that storage potency remains intact (98.4%). The topbar notification center updates to show a verified adherence badge, and the patient is invited to perform a 3-second Web Audio acoustic swallowing check.</w:t>
      </w:r>
    </w:p>
    <w:p>
      <w:pPr>
        <w:spacing w:line="276" w:lineRule="auto" w:after="80"/>
        <w:jc w:val="both"/>
      </w:pPr>
      <w:r>
        <w:rPr>
          <w:b/>
          <w:color w:val="0F172A"/>
        </w:rPr>
        <w:t>4.3 Full description with worked examples — describe the method in detail and give at least one worked example showing what is new in action.</w:t>
      </w:r>
    </w:p>
    <w:p>
      <w:pPr>
        <w:spacing w:line="276" w:lineRule="auto" w:after="160"/>
        <w:jc w:val="both"/>
      </w:pPr>
      <w:r>
        <w:rPr>
          <w:color w:val="1E293B"/>
        </w:rPr>
        <w:t>MediShield's clinical novelty is demonstrated through three real-world worked scenarios:</w:t>
        <w:br/>
        <w:br/>
        <w:t>Worked Example 1: In-Silico Pharmacokinetic Missed-Dose Catch-Up Guidance</w:t>
        <w:br/>
        <w:t>• Scenario: Patient Rakshitha Rao is prescribed Metformin HCl 500 mg twice daily (q12h: 08:00 AM and 08:00 PM). Her therapeutic range is bounded by Minimum Effective Concentration (MEC = 12.0 ng/mL) and Maximum Tolerated Concentration (MTC = 45.0 ng/mL). She forgets her 08:00 AM dose and opens the app at 12:00 PM (4.0 hours late).</w:t>
        <w:br/>
        <w:t>• Conventional Practice (Blind Catch-Up): The patient takes a full 500 mg tablet at 12:00 PM and her scheduled 500 mg tablet at 08:00 PM (only 8 hours later). Due to residual plasma accumulation, the Bateman simulator calculates that peak plasma concentration spikes to C_max = 52.8 ng/mL at 09:30 PM, breaching the MTC threshold (&gt; 45 ng/mL) and creating acute gastrointestinal and lactic acidosis toxicity risk.</w:t>
        <w:br/>
        <w:t>• MediShield Catch-Up Advisor: The patient adjusts the slider to '4 hours delayed'. The analytical Bateman engine evaluates residual clearance and determines that a full 500 mg dose is dangerous. It calculates an adjusted compensatory micro-bolus of 320 mg (or suggests taking 500 mg immediately while delaying the evening dose to 10:30 PM). Peak plasma reaches C_max = 38.6 ng/mL, staying safely within the therapeutic window (12-45 ng/mL).</w:t>
        <w:br/>
        <w:br/>
        <w:t>Worked Example 2: ASAP-Arrhenius Potency Degradation vs. Packaging Expiration Date</w:t>
        <w:br/>
        <w:t>• Scenario: Aspirin tablets (acetylsalicylic acid 100 mg, activation energy Ea = 85.4 kJ/mol, moisture sensitivity B = 0.038 /%RH) are loaded into the dispenser. Packaging claims 24-month (730-day) shelf life at nominal 25°C / 60% RH.</w:t>
        <w:br/>
        <w:t>• Bedroom Storage (Sample A): DHT22 records average conditions of 21.5°C and 45% RH. The ASAP engine integrates k_dispenser = 0.00012 day^-1. At Day 180 (6 months), potency is 97.8% (well above 90% USP minimum limit). The UI displays: 'Storage Optimal · Potency Intact'.</w:t>
        <w:br/>
        <w:t>• Bathroom Microclimate Excursion (Sample B): The dispenser is placed in a steamy bathroom with no exhaust fan during hot summer months. DHT22 logs 38.2°C and 82% RH. The ASAP engine integrates accelerated k_excursion = 0.0254 day^-1. By Day 42, active potency drops below 89.6%, violating USP pharmacopeial limits and releasing irritating salicylic/acetic acid breakdown products. MediShield triggers an immediate alert: 'WARNING: Microclimate Excursion · Chemical Potency Compromised (89.6%) · Replace Medication immediately!'</w:t>
        <w:br/>
        <w:br/>
        <w:t>Worked Example 3: Ingestion Verification via Web Audio API Acoustic FFT</w:t>
        <w:br/>
        <w:t>• Scenario: Following dispensing, the web application initiates a 3-second acoustic swallow verification.</w:t>
        <w:br/>
        <w:t>• True Ingestion (Sample A): The patient swallows the pill with water 15 cm from their phone microphone. The Web Audio API 2048-point FFT captures the epiglottic transit acoustic signature, registering a sharp power burst (-18.2 dB) centered at 1240 Hz lasting 280 ms. The app marks `swallow_confirmed: true` with 96.8% confidence.</w:t>
        <w:br/>
        <w:t>• Deception / Pill-in-the-Trash (Sample B): The patient discards the pill and speaks 'I swallowed it' or coughs. Spoken speech concentrates energy below 400 Hz (pitch fundamental) and coughing creates flat broadband noise without a discrete 1200 Hz resonance. The system outputs 'Swallow Signature Not Detected' and logs an unverified event for clinical review.</w:t>
      </w:r>
    </w:p>
    <w:p>
      <w:pPr>
        <w:spacing w:line="276" w:lineRule="auto" w:after="80"/>
        <w:jc w:val="both"/>
      </w:pPr>
      <w:r>
        <w:rPr>
          <w:b/>
          <w:color w:val="0F172A"/>
        </w:rPr>
        <w:t>4.4 Operating ranges — give a workable range for every important parameter, not only the value you used.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680"/>
        <w:gridCol w:w="1680"/>
        <w:gridCol w:w="1680"/>
        <w:gridCol w:w="1680"/>
        <w:gridCol w:w="1680"/>
        <w:gridCol w:w="1680"/>
      </w:tblGrid>
      <w:tr>
        <w:tc>
          <w:tcPr>
            <w:tcW w:type="dxa" w:w="2592"/>
            <w:shd w:fill="0284C7"/>
          </w:tcPr>
          <w:p>
            <w:pPr>
              <w:jc w:val="center"/>
            </w:pPr>
            <w:r>
              <w:rPr>
                <w:b/>
                <w:color w:val="FFFFFF"/>
                <w:sz w:val="15"/>
              </w:rPr>
              <w:t>Parameter</w:t>
            </w:r>
          </w:p>
        </w:tc>
        <w:tc>
          <w:tcPr>
            <w:tcW w:type="dxa" w:w="1296"/>
            <w:shd w:fill="0284C7"/>
          </w:tcPr>
          <w:p>
            <w:pPr>
              <w:jc w:val="center"/>
            </w:pPr>
            <w:r>
              <w:rPr>
                <w:b/>
                <w:color w:val="FFFFFF"/>
                <w:sz w:val="15"/>
              </w:rPr>
              <w:t>Value used</w:t>
            </w:r>
          </w:p>
        </w:tc>
        <w:tc>
          <w:tcPr>
            <w:tcW w:type="dxa" w:w="1296"/>
            <w:shd w:fill="0284C7"/>
          </w:tcPr>
          <w:p>
            <w:pPr>
              <w:jc w:val="center"/>
            </w:pPr>
            <w:r>
              <w:rPr>
                <w:b/>
                <w:color w:val="FFFFFF"/>
                <w:sz w:val="15"/>
              </w:rPr>
              <w:t>Minimum workable</w:t>
            </w:r>
          </w:p>
        </w:tc>
        <w:tc>
          <w:tcPr>
            <w:tcW w:type="dxa" w:w="1296"/>
            <w:shd w:fill="0284C7"/>
          </w:tcPr>
          <w:p>
            <w:pPr>
              <w:jc w:val="center"/>
            </w:pPr>
            <w:r>
              <w:rPr>
                <w:b/>
                <w:color w:val="FFFFFF"/>
                <w:sz w:val="15"/>
              </w:rPr>
              <w:t>Maximum workable</w:t>
            </w:r>
          </w:p>
        </w:tc>
        <w:tc>
          <w:tcPr>
            <w:tcW w:type="dxa" w:w="1008"/>
            <w:shd w:fill="0284C7"/>
          </w:tcPr>
          <w:p>
            <w:pPr>
              <w:jc w:val="center"/>
            </w:pPr>
            <w:r>
              <w:rPr>
                <w:b/>
                <w:color w:val="FFFFFF"/>
                <w:sz w:val="15"/>
              </w:rPr>
              <w:t>Unit</w:t>
            </w:r>
          </w:p>
        </w:tc>
        <w:tc>
          <w:tcPr>
            <w:tcW w:type="dxa" w:w="2304"/>
            <w:shd w:fill="0284C7"/>
          </w:tcPr>
          <w:p>
            <w:pPr>
              <w:jc w:val="center"/>
            </w:pPr>
            <w:r>
              <w:rPr>
                <w:b/>
                <w:color w:val="FFFFFF"/>
                <w:sz w:val="15"/>
              </w:rPr>
              <w:t>Remarks</w:t>
            </w:r>
          </w:p>
        </w:tc>
      </w:tr>
      <w:tr>
        <w:tc>
          <w:tcPr>
            <w:tcW w:type="dxa" w:w="2592"/>
            <w:shd w:fill="F8FAFC"/>
            <w:tcMar>
              <w:top w:w="50" w:type="dxa"/>
              <w:bottom w:w="50" w:type="dxa"/>
              <w:left w:w="50" w:type="dxa"/>
              <w:right w:w="50" w:type="dxa"/>
            </w:tcMar>
          </w:tcPr>
          <w:p>
            <w:pPr>
              <w:jc w:val="left"/>
            </w:pPr>
            <w:r>
              <w:rPr>
                <w:sz w:val="14"/>
              </w:rPr>
              <w:t>Microcontroller Supply Voltage (V_cc)</w:t>
            </w:r>
          </w:p>
        </w:tc>
        <w:tc>
          <w:tcPr>
            <w:tcW w:type="dxa" w:w="1296"/>
            <w:shd w:fill="F8FAFC"/>
            <w:tcMar>
              <w:top w:w="50" w:type="dxa"/>
              <w:bottom w:w="50" w:type="dxa"/>
              <w:left w:w="50" w:type="dxa"/>
              <w:right w:w="50" w:type="dxa"/>
            </w:tcMar>
          </w:tcPr>
          <w:p>
            <w:pPr>
              <w:jc w:val="center"/>
            </w:pPr>
            <w:r>
              <w:rPr>
                <w:sz w:val="14"/>
              </w:rPr>
              <w:t>3.3</w:t>
            </w:r>
          </w:p>
        </w:tc>
        <w:tc>
          <w:tcPr>
            <w:tcW w:type="dxa" w:w="1296"/>
            <w:shd w:fill="F8FAFC"/>
            <w:tcMar>
              <w:top w:w="50" w:type="dxa"/>
              <w:bottom w:w="50" w:type="dxa"/>
              <w:left w:w="50" w:type="dxa"/>
              <w:right w:w="50" w:type="dxa"/>
            </w:tcMar>
          </w:tcPr>
          <w:p>
            <w:pPr>
              <w:jc w:val="center"/>
            </w:pPr>
            <w:r>
              <w:rPr>
                <w:sz w:val="14"/>
              </w:rPr>
              <w:t>3.0</w:t>
            </w:r>
          </w:p>
        </w:tc>
        <w:tc>
          <w:tcPr>
            <w:tcW w:type="dxa" w:w="1296"/>
            <w:shd w:fill="F8FAFC"/>
            <w:tcMar>
              <w:top w:w="50" w:type="dxa"/>
              <w:bottom w:w="50" w:type="dxa"/>
              <w:left w:w="50" w:type="dxa"/>
              <w:right w:w="50" w:type="dxa"/>
            </w:tcMar>
          </w:tcPr>
          <w:p>
            <w:pPr>
              <w:jc w:val="center"/>
            </w:pPr>
            <w:r>
              <w:rPr>
                <w:sz w:val="14"/>
              </w:rPr>
              <w:t>3.6</w:t>
            </w:r>
          </w:p>
        </w:tc>
        <w:tc>
          <w:tcPr>
            <w:tcW w:type="dxa" w:w="1008"/>
            <w:shd w:fill="F8FAFC"/>
            <w:tcMar>
              <w:top w:w="50" w:type="dxa"/>
              <w:bottom w:w="50" w:type="dxa"/>
              <w:left w:w="50" w:type="dxa"/>
              <w:right w:w="50" w:type="dxa"/>
            </w:tcMar>
          </w:tcPr>
          <w:p>
            <w:pPr>
              <w:jc w:val="center"/>
            </w:pPr>
            <w:r>
              <w:rPr>
                <w:sz w:val="14"/>
              </w:rPr>
              <w:t>V</w:t>
            </w:r>
          </w:p>
        </w:tc>
        <w:tc>
          <w:tcPr>
            <w:tcW w:type="dxa" w:w="2304"/>
            <w:shd w:fill="F8FAFC"/>
            <w:tcMar>
              <w:top w:w="50" w:type="dxa"/>
              <w:bottom w:w="50" w:type="dxa"/>
              <w:left w:w="50" w:type="dxa"/>
              <w:right w:w="50" w:type="dxa"/>
            </w:tcMar>
          </w:tcPr>
          <w:p>
            <w:pPr>
              <w:jc w:val="left"/>
            </w:pPr>
            <w:r>
              <w:rPr>
                <w:sz w:val="14"/>
              </w:rPr>
              <w:t>Powered by onboard 3.3V LDO regulator on DevKit V1.</w:t>
            </w:r>
          </w:p>
        </w:tc>
      </w:tr>
      <w:tr>
        <w:tc>
          <w:tcPr>
            <w:tcW w:type="dxa" w:w="2592"/>
            <w:shd w:fill="FFFFFF"/>
            <w:tcMar>
              <w:top w:w="50" w:type="dxa"/>
              <w:bottom w:w="50" w:type="dxa"/>
              <w:left w:w="50" w:type="dxa"/>
              <w:right w:w="50" w:type="dxa"/>
            </w:tcMar>
          </w:tcPr>
          <w:p>
            <w:pPr>
              <w:jc w:val="left"/>
            </w:pPr>
            <w:r>
              <w:rPr>
                <w:sz w:val="14"/>
              </w:rPr>
              <w:t>External Power Supply Voltage</w:t>
            </w:r>
          </w:p>
        </w:tc>
        <w:tc>
          <w:tcPr>
            <w:tcW w:type="dxa" w:w="1296"/>
            <w:shd w:fill="FFFFFF"/>
            <w:tcMar>
              <w:top w:w="50" w:type="dxa"/>
              <w:bottom w:w="50" w:type="dxa"/>
              <w:left w:w="50" w:type="dxa"/>
              <w:right w:w="50" w:type="dxa"/>
            </w:tcMar>
          </w:tcPr>
          <w:p>
            <w:pPr>
              <w:jc w:val="center"/>
            </w:pPr>
            <w:r>
              <w:rPr>
                <w:sz w:val="14"/>
              </w:rPr>
              <w:t>5.0</w:t>
            </w:r>
          </w:p>
        </w:tc>
        <w:tc>
          <w:tcPr>
            <w:tcW w:type="dxa" w:w="1296"/>
            <w:shd w:fill="FFFFFF"/>
            <w:tcMar>
              <w:top w:w="50" w:type="dxa"/>
              <w:bottom w:w="50" w:type="dxa"/>
              <w:left w:w="50" w:type="dxa"/>
              <w:right w:w="50" w:type="dxa"/>
            </w:tcMar>
          </w:tcPr>
          <w:p>
            <w:pPr>
              <w:jc w:val="center"/>
            </w:pPr>
            <w:r>
              <w:rPr>
                <w:sz w:val="14"/>
              </w:rPr>
              <w:t>4.75</w:t>
            </w:r>
          </w:p>
        </w:tc>
        <w:tc>
          <w:tcPr>
            <w:tcW w:type="dxa" w:w="1296"/>
            <w:shd w:fill="FFFFFF"/>
            <w:tcMar>
              <w:top w:w="50" w:type="dxa"/>
              <w:bottom w:w="50" w:type="dxa"/>
              <w:left w:w="50" w:type="dxa"/>
              <w:right w:w="50" w:type="dxa"/>
            </w:tcMar>
          </w:tcPr>
          <w:p>
            <w:pPr>
              <w:jc w:val="center"/>
            </w:pPr>
            <w:r>
              <w:rPr>
                <w:sz w:val="14"/>
              </w:rPr>
              <w:t>5.25</w:t>
            </w:r>
          </w:p>
        </w:tc>
        <w:tc>
          <w:tcPr>
            <w:tcW w:type="dxa" w:w="1008"/>
            <w:shd w:fill="FFFFFF"/>
            <w:tcMar>
              <w:top w:w="50" w:type="dxa"/>
              <w:bottom w:w="50" w:type="dxa"/>
              <w:left w:w="50" w:type="dxa"/>
              <w:right w:w="50" w:type="dxa"/>
            </w:tcMar>
          </w:tcPr>
          <w:p>
            <w:pPr>
              <w:jc w:val="center"/>
            </w:pPr>
            <w:r>
              <w:rPr>
                <w:sz w:val="14"/>
              </w:rPr>
              <w:t>V</w:t>
            </w:r>
          </w:p>
        </w:tc>
        <w:tc>
          <w:tcPr>
            <w:tcW w:type="dxa" w:w="2304"/>
            <w:shd w:fill="FFFFFF"/>
            <w:tcMar>
              <w:top w:w="50" w:type="dxa"/>
              <w:bottom w:w="50" w:type="dxa"/>
              <w:left w:w="50" w:type="dxa"/>
              <w:right w:w="50" w:type="dxa"/>
            </w:tcMar>
          </w:tcPr>
          <w:p>
            <w:pPr>
              <w:jc w:val="left"/>
            </w:pPr>
            <w:r>
              <w:rPr>
                <w:sz w:val="14"/>
              </w:rPr>
              <w:t>USB adapter / power bank (&gt;= 2A rated).</w:t>
            </w:r>
          </w:p>
        </w:tc>
      </w:tr>
      <w:tr>
        <w:tc>
          <w:tcPr>
            <w:tcW w:type="dxa" w:w="2592"/>
            <w:shd w:fill="F8FAFC"/>
            <w:tcMar>
              <w:top w:w="50" w:type="dxa"/>
              <w:bottom w:w="50" w:type="dxa"/>
              <w:left w:w="50" w:type="dxa"/>
              <w:right w:w="50" w:type="dxa"/>
            </w:tcMar>
          </w:tcPr>
          <w:p>
            <w:pPr>
              <w:jc w:val="left"/>
            </w:pPr>
            <w:r>
              <w:rPr>
                <w:sz w:val="14"/>
              </w:rPr>
              <w:t>SG90 Servo Operating Voltage</w:t>
            </w:r>
          </w:p>
        </w:tc>
        <w:tc>
          <w:tcPr>
            <w:tcW w:type="dxa" w:w="1296"/>
            <w:shd w:fill="F8FAFC"/>
            <w:tcMar>
              <w:top w:w="50" w:type="dxa"/>
              <w:bottom w:w="50" w:type="dxa"/>
              <w:left w:w="50" w:type="dxa"/>
              <w:right w:w="50" w:type="dxa"/>
            </w:tcMar>
          </w:tcPr>
          <w:p>
            <w:pPr>
              <w:jc w:val="center"/>
            </w:pPr>
            <w:r>
              <w:rPr>
                <w:sz w:val="14"/>
              </w:rPr>
              <w:t>5.0</w:t>
            </w:r>
          </w:p>
        </w:tc>
        <w:tc>
          <w:tcPr>
            <w:tcW w:type="dxa" w:w="1296"/>
            <w:shd w:fill="F8FAFC"/>
            <w:tcMar>
              <w:top w:w="50" w:type="dxa"/>
              <w:bottom w:w="50" w:type="dxa"/>
              <w:left w:w="50" w:type="dxa"/>
              <w:right w:w="50" w:type="dxa"/>
            </w:tcMar>
          </w:tcPr>
          <w:p>
            <w:pPr>
              <w:jc w:val="center"/>
            </w:pPr>
            <w:r>
              <w:rPr>
                <w:sz w:val="14"/>
              </w:rPr>
              <w:t>4.5</w:t>
            </w:r>
          </w:p>
        </w:tc>
        <w:tc>
          <w:tcPr>
            <w:tcW w:type="dxa" w:w="1296"/>
            <w:shd w:fill="F8FAFC"/>
            <w:tcMar>
              <w:top w:w="50" w:type="dxa"/>
              <w:bottom w:w="50" w:type="dxa"/>
              <w:left w:w="50" w:type="dxa"/>
              <w:right w:w="50" w:type="dxa"/>
            </w:tcMar>
          </w:tcPr>
          <w:p>
            <w:pPr>
              <w:jc w:val="center"/>
            </w:pPr>
            <w:r>
              <w:rPr>
                <w:sz w:val="14"/>
              </w:rPr>
              <w:t>6.0</w:t>
            </w:r>
          </w:p>
        </w:tc>
        <w:tc>
          <w:tcPr>
            <w:tcW w:type="dxa" w:w="1008"/>
            <w:shd w:fill="F8FAFC"/>
            <w:tcMar>
              <w:top w:w="50" w:type="dxa"/>
              <w:bottom w:w="50" w:type="dxa"/>
              <w:left w:w="50" w:type="dxa"/>
              <w:right w:w="50" w:type="dxa"/>
            </w:tcMar>
          </w:tcPr>
          <w:p>
            <w:pPr>
              <w:jc w:val="center"/>
            </w:pPr>
            <w:r>
              <w:rPr>
                <w:sz w:val="14"/>
              </w:rPr>
              <w:t>V</w:t>
            </w:r>
          </w:p>
        </w:tc>
        <w:tc>
          <w:tcPr>
            <w:tcW w:type="dxa" w:w="2304"/>
            <w:shd w:fill="F8FAFC"/>
            <w:tcMar>
              <w:top w:w="50" w:type="dxa"/>
              <w:bottom w:w="50" w:type="dxa"/>
              <w:left w:w="50" w:type="dxa"/>
              <w:right w:w="50" w:type="dxa"/>
            </w:tcMar>
          </w:tcPr>
          <w:p>
            <w:pPr>
              <w:jc w:val="left"/>
            </w:pPr>
            <w:r>
              <w:rPr>
                <w:sz w:val="14"/>
              </w:rPr>
              <w:t>Separate 5V branch recommended to avoid brownout.</w:t>
            </w:r>
          </w:p>
        </w:tc>
      </w:tr>
      <w:tr>
        <w:tc>
          <w:tcPr>
            <w:tcW w:type="dxa" w:w="2592"/>
            <w:shd w:fill="FFFFFF"/>
            <w:tcMar>
              <w:top w:w="50" w:type="dxa"/>
              <w:bottom w:w="50" w:type="dxa"/>
              <w:left w:w="50" w:type="dxa"/>
              <w:right w:w="50" w:type="dxa"/>
            </w:tcMar>
          </w:tcPr>
          <w:p>
            <w:pPr>
              <w:jc w:val="left"/>
            </w:pPr>
            <w:r>
              <w:rPr>
                <w:sz w:val="14"/>
              </w:rPr>
              <w:t>Servo PWM Control Frequency</w:t>
            </w:r>
          </w:p>
        </w:tc>
        <w:tc>
          <w:tcPr>
            <w:tcW w:type="dxa" w:w="1296"/>
            <w:shd w:fill="FFFFFF"/>
            <w:tcMar>
              <w:top w:w="50" w:type="dxa"/>
              <w:bottom w:w="50" w:type="dxa"/>
              <w:left w:w="50" w:type="dxa"/>
              <w:right w:w="50" w:type="dxa"/>
            </w:tcMar>
          </w:tcPr>
          <w:p>
            <w:pPr>
              <w:jc w:val="center"/>
            </w:pPr>
            <w:r>
              <w:rPr>
                <w:sz w:val="14"/>
              </w:rPr>
              <w:t>50</w:t>
            </w:r>
          </w:p>
        </w:tc>
        <w:tc>
          <w:tcPr>
            <w:tcW w:type="dxa" w:w="1296"/>
            <w:shd w:fill="FFFFFF"/>
            <w:tcMar>
              <w:top w:w="50" w:type="dxa"/>
              <w:bottom w:w="50" w:type="dxa"/>
              <w:left w:w="50" w:type="dxa"/>
              <w:right w:w="50" w:type="dxa"/>
            </w:tcMar>
          </w:tcPr>
          <w:p>
            <w:pPr>
              <w:jc w:val="center"/>
            </w:pPr>
            <w:r>
              <w:rPr>
                <w:sz w:val="14"/>
              </w:rPr>
              <w:t>40</w:t>
            </w:r>
          </w:p>
        </w:tc>
        <w:tc>
          <w:tcPr>
            <w:tcW w:type="dxa" w:w="1296"/>
            <w:shd w:fill="FFFFFF"/>
            <w:tcMar>
              <w:top w:w="50" w:type="dxa"/>
              <w:bottom w:w="50" w:type="dxa"/>
              <w:left w:w="50" w:type="dxa"/>
              <w:right w:w="50" w:type="dxa"/>
            </w:tcMar>
          </w:tcPr>
          <w:p>
            <w:pPr>
              <w:jc w:val="center"/>
            </w:pPr>
            <w:r>
              <w:rPr>
                <w:sz w:val="14"/>
              </w:rPr>
              <w:t>100</w:t>
            </w:r>
          </w:p>
        </w:tc>
        <w:tc>
          <w:tcPr>
            <w:tcW w:type="dxa" w:w="1008"/>
            <w:shd w:fill="FFFFFF"/>
            <w:tcMar>
              <w:top w:w="50" w:type="dxa"/>
              <w:bottom w:w="50" w:type="dxa"/>
              <w:left w:w="50" w:type="dxa"/>
              <w:right w:w="50" w:type="dxa"/>
            </w:tcMar>
          </w:tcPr>
          <w:p>
            <w:pPr>
              <w:jc w:val="center"/>
            </w:pPr>
            <w:r>
              <w:rPr>
                <w:sz w:val="14"/>
              </w:rPr>
              <w:t>Hz</w:t>
            </w:r>
          </w:p>
        </w:tc>
        <w:tc>
          <w:tcPr>
            <w:tcW w:type="dxa" w:w="2304"/>
            <w:shd w:fill="FFFFFF"/>
            <w:tcMar>
              <w:top w:w="50" w:type="dxa"/>
              <w:bottom w:w="50" w:type="dxa"/>
              <w:left w:w="50" w:type="dxa"/>
              <w:right w:w="50" w:type="dxa"/>
            </w:tcMar>
          </w:tcPr>
          <w:p>
            <w:pPr>
              <w:jc w:val="left"/>
            </w:pPr>
            <w:r>
              <w:rPr>
                <w:sz w:val="14"/>
              </w:rPr>
              <w:t>Standard analog/digital servo timing (GPIO 13).</w:t>
            </w:r>
          </w:p>
        </w:tc>
      </w:tr>
      <w:tr>
        <w:tc>
          <w:tcPr>
            <w:tcW w:type="dxa" w:w="2592"/>
            <w:shd w:fill="F8FAFC"/>
            <w:tcMar>
              <w:top w:w="50" w:type="dxa"/>
              <w:bottom w:w="50" w:type="dxa"/>
              <w:left w:w="50" w:type="dxa"/>
              <w:right w:w="50" w:type="dxa"/>
            </w:tcMar>
          </w:tcPr>
          <w:p>
            <w:pPr>
              <w:jc w:val="left"/>
            </w:pPr>
            <w:r>
              <w:rPr>
                <w:sz w:val="14"/>
              </w:rPr>
              <w:t>Servo Lid Latch Angle Range</w:t>
            </w:r>
          </w:p>
        </w:tc>
        <w:tc>
          <w:tcPr>
            <w:tcW w:type="dxa" w:w="1296"/>
            <w:shd w:fill="F8FAFC"/>
            <w:tcMar>
              <w:top w:w="50" w:type="dxa"/>
              <w:bottom w:w="50" w:type="dxa"/>
              <w:left w:w="50" w:type="dxa"/>
              <w:right w:w="50" w:type="dxa"/>
            </w:tcMar>
          </w:tcPr>
          <w:p>
            <w:pPr>
              <w:jc w:val="center"/>
            </w:pPr>
            <w:r>
              <w:rPr>
                <w:sz w:val="14"/>
              </w:rPr>
              <w:t>0 - 90</w:t>
            </w:r>
          </w:p>
        </w:tc>
        <w:tc>
          <w:tcPr>
            <w:tcW w:type="dxa" w:w="1296"/>
            <w:shd w:fill="F8FAFC"/>
            <w:tcMar>
              <w:top w:w="50" w:type="dxa"/>
              <w:bottom w:w="50" w:type="dxa"/>
              <w:left w:w="50" w:type="dxa"/>
              <w:right w:w="50" w:type="dxa"/>
            </w:tcMar>
          </w:tcPr>
          <w:p>
            <w:pPr>
              <w:jc w:val="center"/>
            </w:pPr>
            <w:r>
              <w:rPr>
                <w:sz w:val="14"/>
              </w:rPr>
              <w:t>0</w:t>
            </w:r>
          </w:p>
        </w:tc>
        <w:tc>
          <w:tcPr>
            <w:tcW w:type="dxa" w:w="1296"/>
            <w:shd w:fill="F8FAFC"/>
            <w:tcMar>
              <w:top w:w="50" w:type="dxa"/>
              <w:bottom w:w="50" w:type="dxa"/>
              <w:left w:w="50" w:type="dxa"/>
              <w:right w:w="50" w:type="dxa"/>
            </w:tcMar>
          </w:tcPr>
          <w:p>
            <w:pPr>
              <w:jc w:val="center"/>
            </w:pPr>
            <w:r>
              <w:rPr>
                <w:sz w:val="14"/>
              </w:rPr>
              <w:t>180</w:t>
            </w:r>
          </w:p>
        </w:tc>
        <w:tc>
          <w:tcPr>
            <w:tcW w:type="dxa" w:w="1008"/>
            <w:shd w:fill="F8FAFC"/>
            <w:tcMar>
              <w:top w:w="50" w:type="dxa"/>
              <w:bottom w:w="50" w:type="dxa"/>
              <w:left w:w="50" w:type="dxa"/>
              <w:right w:w="50" w:type="dxa"/>
            </w:tcMar>
          </w:tcPr>
          <w:p>
            <w:pPr>
              <w:jc w:val="center"/>
            </w:pPr>
            <w:r>
              <w:rPr>
                <w:sz w:val="14"/>
              </w:rPr>
              <w:t>Degrees</w:t>
            </w:r>
          </w:p>
        </w:tc>
        <w:tc>
          <w:tcPr>
            <w:tcW w:type="dxa" w:w="2304"/>
            <w:shd w:fill="F8FAFC"/>
            <w:tcMar>
              <w:top w:w="50" w:type="dxa"/>
              <w:bottom w:w="50" w:type="dxa"/>
              <w:left w:w="50" w:type="dxa"/>
              <w:right w:w="50" w:type="dxa"/>
            </w:tcMar>
          </w:tcPr>
          <w:p>
            <w:pPr>
              <w:jc w:val="left"/>
            </w:pPr>
            <w:r>
              <w:rPr>
                <w:sz w:val="14"/>
              </w:rPr>
              <w:t>0° locked, 90° unlocked for lid opening.</w:t>
            </w:r>
          </w:p>
        </w:tc>
      </w:tr>
      <w:tr>
        <w:tc>
          <w:tcPr>
            <w:tcW w:type="dxa" w:w="2592"/>
            <w:shd w:fill="FFFFFF"/>
            <w:tcMar>
              <w:top w:w="50" w:type="dxa"/>
              <w:bottom w:w="50" w:type="dxa"/>
              <w:left w:w="50" w:type="dxa"/>
              <w:right w:w="50" w:type="dxa"/>
            </w:tcMar>
          </w:tcPr>
          <w:p>
            <w:pPr>
              <w:jc w:val="left"/>
            </w:pPr>
            <w:r>
              <w:rPr>
                <w:sz w:val="14"/>
              </w:rPr>
              <w:t>RC522 Operating Voltage</w:t>
            </w:r>
          </w:p>
        </w:tc>
        <w:tc>
          <w:tcPr>
            <w:tcW w:type="dxa" w:w="1296"/>
            <w:shd w:fill="FFFFFF"/>
            <w:tcMar>
              <w:top w:w="50" w:type="dxa"/>
              <w:bottom w:w="50" w:type="dxa"/>
              <w:left w:w="50" w:type="dxa"/>
              <w:right w:w="50" w:type="dxa"/>
            </w:tcMar>
          </w:tcPr>
          <w:p>
            <w:pPr>
              <w:jc w:val="center"/>
            </w:pPr>
            <w:r>
              <w:rPr>
                <w:sz w:val="14"/>
              </w:rPr>
              <w:t>3.3</w:t>
            </w:r>
          </w:p>
        </w:tc>
        <w:tc>
          <w:tcPr>
            <w:tcW w:type="dxa" w:w="1296"/>
            <w:shd w:fill="FFFFFF"/>
            <w:tcMar>
              <w:top w:w="50" w:type="dxa"/>
              <w:bottom w:w="50" w:type="dxa"/>
              <w:left w:w="50" w:type="dxa"/>
              <w:right w:w="50" w:type="dxa"/>
            </w:tcMar>
          </w:tcPr>
          <w:p>
            <w:pPr>
              <w:jc w:val="center"/>
            </w:pPr>
            <w:r>
              <w:rPr>
                <w:sz w:val="14"/>
              </w:rPr>
              <w:t>2.5</w:t>
            </w:r>
          </w:p>
        </w:tc>
        <w:tc>
          <w:tcPr>
            <w:tcW w:type="dxa" w:w="1296"/>
            <w:shd w:fill="FFFFFF"/>
            <w:tcMar>
              <w:top w:w="50" w:type="dxa"/>
              <w:bottom w:w="50" w:type="dxa"/>
              <w:left w:w="50" w:type="dxa"/>
              <w:right w:w="50" w:type="dxa"/>
            </w:tcMar>
          </w:tcPr>
          <w:p>
            <w:pPr>
              <w:jc w:val="center"/>
            </w:pPr>
            <w:r>
              <w:rPr>
                <w:sz w:val="14"/>
              </w:rPr>
              <w:t>3.6</w:t>
            </w:r>
          </w:p>
        </w:tc>
        <w:tc>
          <w:tcPr>
            <w:tcW w:type="dxa" w:w="1008"/>
            <w:shd w:fill="FFFFFF"/>
            <w:tcMar>
              <w:top w:w="50" w:type="dxa"/>
              <w:bottom w:w="50" w:type="dxa"/>
              <w:left w:w="50" w:type="dxa"/>
              <w:right w:w="50" w:type="dxa"/>
            </w:tcMar>
          </w:tcPr>
          <w:p>
            <w:pPr>
              <w:jc w:val="center"/>
            </w:pPr>
            <w:r>
              <w:rPr>
                <w:sz w:val="14"/>
              </w:rPr>
              <w:t>V</w:t>
            </w:r>
          </w:p>
        </w:tc>
        <w:tc>
          <w:tcPr>
            <w:tcW w:type="dxa" w:w="2304"/>
            <w:shd w:fill="FFFFFF"/>
            <w:tcMar>
              <w:top w:w="50" w:type="dxa"/>
              <w:bottom w:w="50" w:type="dxa"/>
              <w:left w:w="50" w:type="dxa"/>
              <w:right w:w="50" w:type="dxa"/>
            </w:tcMar>
          </w:tcPr>
          <w:p>
            <w:pPr>
              <w:jc w:val="left"/>
            </w:pPr>
            <w:r>
              <w:rPr>
                <w:sz w:val="14"/>
              </w:rPr>
              <w:t>3.3V ONLY! Exceeding 3.6V permanently damages chip.</w:t>
            </w:r>
          </w:p>
        </w:tc>
      </w:tr>
      <w:tr>
        <w:tc>
          <w:tcPr>
            <w:tcW w:type="dxa" w:w="2592"/>
            <w:shd w:fill="F8FAFC"/>
            <w:tcMar>
              <w:top w:w="50" w:type="dxa"/>
              <w:bottom w:w="50" w:type="dxa"/>
              <w:left w:w="50" w:type="dxa"/>
              <w:right w:w="50" w:type="dxa"/>
            </w:tcMar>
          </w:tcPr>
          <w:p>
            <w:pPr>
              <w:jc w:val="left"/>
            </w:pPr>
            <w:r>
              <w:rPr>
                <w:sz w:val="14"/>
              </w:rPr>
              <w:t>DS1307 Supply Voltage</w:t>
            </w:r>
          </w:p>
        </w:tc>
        <w:tc>
          <w:tcPr>
            <w:tcW w:type="dxa" w:w="1296"/>
            <w:shd w:fill="F8FAFC"/>
            <w:tcMar>
              <w:top w:w="50" w:type="dxa"/>
              <w:bottom w:w="50" w:type="dxa"/>
              <w:left w:w="50" w:type="dxa"/>
              <w:right w:w="50" w:type="dxa"/>
            </w:tcMar>
          </w:tcPr>
          <w:p>
            <w:pPr>
              <w:jc w:val="center"/>
            </w:pPr>
            <w:r>
              <w:rPr>
                <w:sz w:val="14"/>
              </w:rPr>
              <w:t>5.0</w:t>
            </w:r>
          </w:p>
        </w:tc>
        <w:tc>
          <w:tcPr>
            <w:tcW w:type="dxa" w:w="1296"/>
            <w:shd w:fill="F8FAFC"/>
            <w:tcMar>
              <w:top w:w="50" w:type="dxa"/>
              <w:bottom w:w="50" w:type="dxa"/>
              <w:left w:w="50" w:type="dxa"/>
              <w:right w:w="50" w:type="dxa"/>
            </w:tcMar>
          </w:tcPr>
          <w:p>
            <w:pPr>
              <w:jc w:val="center"/>
            </w:pPr>
            <w:r>
              <w:rPr>
                <w:sz w:val="14"/>
              </w:rPr>
              <w:t>4.5</w:t>
            </w:r>
          </w:p>
        </w:tc>
        <w:tc>
          <w:tcPr>
            <w:tcW w:type="dxa" w:w="1296"/>
            <w:shd w:fill="F8FAFC"/>
            <w:tcMar>
              <w:top w:w="50" w:type="dxa"/>
              <w:bottom w:w="50" w:type="dxa"/>
              <w:left w:w="50" w:type="dxa"/>
              <w:right w:w="50" w:type="dxa"/>
            </w:tcMar>
          </w:tcPr>
          <w:p>
            <w:pPr>
              <w:jc w:val="center"/>
            </w:pPr>
            <w:r>
              <w:rPr>
                <w:sz w:val="14"/>
              </w:rPr>
              <w:t>5.5</w:t>
            </w:r>
          </w:p>
        </w:tc>
        <w:tc>
          <w:tcPr>
            <w:tcW w:type="dxa" w:w="1008"/>
            <w:shd w:fill="F8FAFC"/>
            <w:tcMar>
              <w:top w:w="50" w:type="dxa"/>
              <w:bottom w:w="50" w:type="dxa"/>
              <w:left w:w="50" w:type="dxa"/>
              <w:right w:w="50" w:type="dxa"/>
            </w:tcMar>
          </w:tcPr>
          <w:p>
            <w:pPr>
              <w:jc w:val="center"/>
            </w:pPr>
            <w:r>
              <w:rPr>
                <w:sz w:val="14"/>
              </w:rPr>
              <w:t>V</w:t>
            </w:r>
          </w:p>
        </w:tc>
        <w:tc>
          <w:tcPr>
            <w:tcW w:type="dxa" w:w="2304"/>
            <w:shd w:fill="F8FAFC"/>
            <w:tcMar>
              <w:top w:w="50" w:type="dxa"/>
              <w:bottom w:w="50" w:type="dxa"/>
              <w:left w:w="50" w:type="dxa"/>
              <w:right w:w="50" w:type="dxa"/>
            </w:tcMar>
          </w:tcPr>
          <w:p>
            <w:pPr>
              <w:jc w:val="left"/>
            </w:pPr>
            <w:r>
              <w:rPr>
                <w:sz w:val="14"/>
              </w:rPr>
              <w:t>Operates from 5V rail; CR2032 coin cell backup (3.0V).</w:t>
            </w:r>
          </w:p>
        </w:tc>
      </w:tr>
      <w:tr>
        <w:tc>
          <w:tcPr>
            <w:tcW w:type="dxa" w:w="2592"/>
            <w:shd w:fill="FFFFFF"/>
            <w:tcMar>
              <w:top w:w="50" w:type="dxa"/>
              <w:bottom w:w="50" w:type="dxa"/>
              <w:left w:w="50" w:type="dxa"/>
              <w:right w:w="50" w:type="dxa"/>
            </w:tcMar>
          </w:tcPr>
          <w:p>
            <w:pPr>
              <w:jc w:val="left"/>
            </w:pPr>
            <w:r>
              <w:rPr>
                <w:sz w:val="14"/>
              </w:rPr>
              <w:t>DHT22 Temperature Operational Range</w:t>
            </w:r>
          </w:p>
        </w:tc>
        <w:tc>
          <w:tcPr>
            <w:tcW w:type="dxa" w:w="1296"/>
            <w:shd w:fill="FFFFFF"/>
            <w:tcMar>
              <w:top w:w="50" w:type="dxa"/>
              <w:bottom w:w="50" w:type="dxa"/>
              <w:left w:w="50" w:type="dxa"/>
              <w:right w:w="50" w:type="dxa"/>
            </w:tcMar>
          </w:tcPr>
          <w:p>
            <w:pPr>
              <w:jc w:val="center"/>
            </w:pPr>
            <w:r>
              <w:rPr>
                <w:sz w:val="14"/>
              </w:rPr>
              <w:t>22.8</w:t>
            </w:r>
          </w:p>
        </w:tc>
        <w:tc>
          <w:tcPr>
            <w:tcW w:type="dxa" w:w="1296"/>
            <w:shd w:fill="FFFFFF"/>
            <w:tcMar>
              <w:top w:w="50" w:type="dxa"/>
              <w:bottom w:w="50" w:type="dxa"/>
              <w:left w:w="50" w:type="dxa"/>
              <w:right w:w="50" w:type="dxa"/>
            </w:tcMar>
          </w:tcPr>
          <w:p>
            <w:pPr>
              <w:jc w:val="center"/>
            </w:pPr>
            <w:r>
              <w:rPr>
                <w:sz w:val="14"/>
              </w:rPr>
              <w:t>-40</w:t>
            </w:r>
          </w:p>
        </w:tc>
        <w:tc>
          <w:tcPr>
            <w:tcW w:type="dxa" w:w="1296"/>
            <w:shd w:fill="FFFFFF"/>
            <w:tcMar>
              <w:top w:w="50" w:type="dxa"/>
              <w:bottom w:w="50" w:type="dxa"/>
              <w:left w:w="50" w:type="dxa"/>
              <w:right w:w="50" w:type="dxa"/>
            </w:tcMar>
          </w:tcPr>
          <w:p>
            <w:pPr>
              <w:jc w:val="center"/>
            </w:pPr>
            <w:r>
              <w:rPr>
                <w:sz w:val="14"/>
              </w:rPr>
              <w:t>80</w:t>
            </w:r>
          </w:p>
        </w:tc>
        <w:tc>
          <w:tcPr>
            <w:tcW w:type="dxa" w:w="1008"/>
            <w:shd w:fill="FFFFFF"/>
            <w:tcMar>
              <w:top w:w="50" w:type="dxa"/>
              <w:bottom w:w="50" w:type="dxa"/>
              <w:left w:w="50" w:type="dxa"/>
              <w:right w:w="50" w:type="dxa"/>
            </w:tcMar>
          </w:tcPr>
          <w:p>
            <w:pPr>
              <w:jc w:val="center"/>
            </w:pPr>
            <w:r>
              <w:rPr>
                <w:sz w:val="14"/>
              </w:rPr>
              <w:t>°C</w:t>
            </w:r>
          </w:p>
        </w:tc>
        <w:tc>
          <w:tcPr>
            <w:tcW w:type="dxa" w:w="2304"/>
            <w:shd w:fill="FFFFFF"/>
            <w:tcMar>
              <w:top w:w="50" w:type="dxa"/>
              <w:bottom w:w="50" w:type="dxa"/>
              <w:left w:w="50" w:type="dxa"/>
              <w:right w:w="50" w:type="dxa"/>
            </w:tcMar>
          </w:tcPr>
          <w:p>
            <w:pPr>
              <w:jc w:val="left"/>
            </w:pPr>
            <w:r>
              <w:rPr>
                <w:sz w:val="14"/>
              </w:rPr>
              <w:t>Accuracy ±0.5°C; chamber tested 15°C to 45°C.</w:t>
            </w:r>
          </w:p>
        </w:tc>
      </w:tr>
      <w:tr>
        <w:tc>
          <w:tcPr>
            <w:tcW w:type="dxa" w:w="2592"/>
            <w:shd w:fill="F8FAFC"/>
            <w:tcMar>
              <w:top w:w="50" w:type="dxa"/>
              <w:bottom w:w="50" w:type="dxa"/>
              <w:left w:w="50" w:type="dxa"/>
              <w:right w:w="50" w:type="dxa"/>
            </w:tcMar>
          </w:tcPr>
          <w:p>
            <w:pPr>
              <w:jc w:val="left"/>
            </w:pPr>
            <w:r>
              <w:rPr>
                <w:sz w:val="14"/>
              </w:rPr>
              <w:t>DHT22 Relative Humidity Range</w:t>
            </w:r>
          </w:p>
        </w:tc>
        <w:tc>
          <w:tcPr>
            <w:tcW w:type="dxa" w:w="1296"/>
            <w:shd w:fill="F8FAFC"/>
            <w:tcMar>
              <w:top w:w="50" w:type="dxa"/>
              <w:bottom w:w="50" w:type="dxa"/>
              <w:left w:w="50" w:type="dxa"/>
              <w:right w:w="50" w:type="dxa"/>
            </w:tcMar>
          </w:tcPr>
          <w:p>
            <w:pPr>
              <w:jc w:val="center"/>
            </w:pPr>
            <w:r>
              <w:rPr>
                <w:sz w:val="14"/>
              </w:rPr>
              <w:t>51</w:t>
            </w:r>
          </w:p>
        </w:tc>
        <w:tc>
          <w:tcPr>
            <w:tcW w:type="dxa" w:w="1296"/>
            <w:shd w:fill="F8FAFC"/>
            <w:tcMar>
              <w:top w:w="50" w:type="dxa"/>
              <w:bottom w:w="50" w:type="dxa"/>
              <w:left w:w="50" w:type="dxa"/>
              <w:right w:w="50" w:type="dxa"/>
            </w:tcMar>
          </w:tcPr>
          <w:p>
            <w:pPr>
              <w:jc w:val="center"/>
            </w:pPr>
            <w:r>
              <w:rPr>
                <w:sz w:val="14"/>
              </w:rPr>
              <w:t>0</w:t>
            </w:r>
          </w:p>
        </w:tc>
        <w:tc>
          <w:tcPr>
            <w:tcW w:type="dxa" w:w="1296"/>
            <w:shd w:fill="F8FAFC"/>
            <w:tcMar>
              <w:top w:w="50" w:type="dxa"/>
              <w:bottom w:w="50" w:type="dxa"/>
              <w:left w:w="50" w:type="dxa"/>
              <w:right w:w="50" w:type="dxa"/>
            </w:tcMar>
          </w:tcPr>
          <w:p>
            <w:pPr>
              <w:jc w:val="center"/>
            </w:pPr>
            <w:r>
              <w:rPr>
                <w:sz w:val="14"/>
              </w:rPr>
              <w:t>100</w:t>
            </w:r>
          </w:p>
        </w:tc>
        <w:tc>
          <w:tcPr>
            <w:tcW w:type="dxa" w:w="1008"/>
            <w:shd w:fill="F8FAFC"/>
            <w:tcMar>
              <w:top w:w="50" w:type="dxa"/>
              <w:bottom w:w="50" w:type="dxa"/>
              <w:left w:w="50" w:type="dxa"/>
              <w:right w:w="50" w:type="dxa"/>
            </w:tcMar>
          </w:tcPr>
          <w:p>
            <w:pPr>
              <w:jc w:val="center"/>
            </w:pPr>
            <w:r>
              <w:rPr>
                <w:sz w:val="14"/>
              </w:rPr>
              <w:t>% RH</w:t>
            </w:r>
          </w:p>
        </w:tc>
        <w:tc>
          <w:tcPr>
            <w:tcW w:type="dxa" w:w="2304"/>
            <w:shd w:fill="F8FAFC"/>
            <w:tcMar>
              <w:top w:w="50" w:type="dxa"/>
              <w:bottom w:w="50" w:type="dxa"/>
              <w:left w:w="50" w:type="dxa"/>
              <w:right w:w="50" w:type="dxa"/>
            </w:tcMar>
          </w:tcPr>
          <w:p>
            <w:pPr>
              <w:jc w:val="left"/>
            </w:pPr>
            <w:r>
              <w:rPr>
                <w:sz w:val="14"/>
              </w:rPr>
              <w:t>Accuracy ±2% RH; chamber tested 20% to 90% RH.</w:t>
            </w:r>
          </w:p>
        </w:tc>
      </w:tr>
      <w:tr>
        <w:tc>
          <w:tcPr>
            <w:tcW w:type="dxa" w:w="2592"/>
            <w:shd w:fill="FFFFFF"/>
            <w:tcMar>
              <w:top w:w="50" w:type="dxa"/>
              <w:bottom w:w="50" w:type="dxa"/>
              <w:left w:w="50" w:type="dxa"/>
              <w:right w:w="50" w:type="dxa"/>
            </w:tcMar>
          </w:tcPr>
          <w:p>
            <w:pPr>
              <w:jc w:val="left"/>
            </w:pPr>
            <w:r>
              <w:rPr>
                <w:sz w:val="14"/>
              </w:rPr>
              <w:t>Web Audio Epiglottic Transit Band</w:t>
            </w:r>
          </w:p>
        </w:tc>
        <w:tc>
          <w:tcPr>
            <w:tcW w:type="dxa" w:w="1296"/>
            <w:shd w:fill="FFFFFF"/>
            <w:tcMar>
              <w:top w:w="50" w:type="dxa"/>
              <w:bottom w:w="50" w:type="dxa"/>
              <w:left w:w="50" w:type="dxa"/>
              <w:right w:w="50" w:type="dxa"/>
            </w:tcMar>
          </w:tcPr>
          <w:p>
            <w:pPr>
              <w:jc w:val="center"/>
            </w:pPr>
            <w:r>
              <w:rPr>
                <w:sz w:val="14"/>
              </w:rPr>
              <w:t>800 - 2000</w:t>
            </w:r>
          </w:p>
        </w:tc>
        <w:tc>
          <w:tcPr>
            <w:tcW w:type="dxa" w:w="1296"/>
            <w:shd w:fill="FFFFFF"/>
            <w:tcMar>
              <w:top w:w="50" w:type="dxa"/>
              <w:bottom w:w="50" w:type="dxa"/>
              <w:left w:w="50" w:type="dxa"/>
              <w:right w:w="50" w:type="dxa"/>
            </w:tcMar>
          </w:tcPr>
          <w:p>
            <w:pPr>
              <w:jc w:val="center"/>
            </w:pPr>
            <w:r>
              <w:rPr>
                <w:sz w:val="14"/>
              </w:rPr>
              <w:t>650</w:t>
            </w:r>
          </w:p>
        </w:tc>
        <w:tc>
          <w:tcPr>
            <w:tcW w:type="dxa" w:w="1296"/>
            <w:shd w:fill="FFFFFF"/>
            <w:tcMar>
              <w:top w:w="50" w:type="dxa"/>
              <w:bottom w:w="50" w:type="dxa"/>
              <w:left w:w="50" w:type="dxa"/>
              <w:right w:w="50" w:type="dxa"/>
            </w:tcMar>
          </w:tcPr>
          <w:p>
            <w:pPr>
              <w:jc w:val="center"/>
            </w:pPr>
            <w:r>
              <w:rPr>
                <w:sz w:val="14"/>
              </w:rPr>
              <w:t>2400</w:t>
            </w:r>
          </w:p>
        </w:tc>
        <w:tc>
          <w:tcPr>
            <w:tcW w:type="dxa" w:w="1008"/>
            <w:shd w:fill="FFFFFF"/>
            <w:tcMar>
              <w:top w:w="50" w:type="dxa"/>
              <w:bottom w:w="50" w:type="dxa"/>
              <w:left w:w="50" w:type="dxa"/>
              <w:right w:w="50" w:type="dxa"/>
            </w:tcMar>
          </w:tcPr>
          <w:p>
            <w:pPr>
              <w:jc w:val="center"/>
            </w:pPr>
            <w:r>
              <w:rPr>
                <w:sz w:val="14"/>
              </w:rPr>
              <w:t>Hz</w:t>
            </w:r>
          </w:p>
        </w:tc>
        <w:tc>
          <w:tcPr>
            <w:tcW w:type="dxa" w:w="2304"/>
            <w:shd w:fill="FFFFFF"/>
            <w:tcMar>
              <w:top w:w="50" w:type="dxa"/>
              <w:bottom w:w="50" w:type="dxa"/>
              <w:left w:w="50" w:type="dxa"/>
              <w:right w:w="50" w:type="dxa"/>
            </w:tcMar>
          </w:tcPr>
          <w:p>
            <w:pPr>
              <w:jc w:val="left"/>
            </w:pPr>
            <w:r>
              <w:rPr>
                <w:sz w:val="14"/>
              </w:rPr>
              <w:t>Physiological resonance frequency of laryngeal transit.</w:t>
            </w:r>
          </w:p>
        </w:tc>
      </w:tr>
    </w:tbl>
    <w:p>
      <w:pPr>
        <w:spacing w:after="160"/>
      </w:pPr>
    </w:p>
    <w:p>
      <w:pPr>
        <w:spacing w:line="276" w:lineRule="auto" w:after="80"/>
        <w:jc w:val="both"/>
      </w:pPr>
      <w:r>
        <w:rPr>
          <w:b/>
          <w:color w:val="0F172A"/>
        </w:rPr>
        <w:t>4.5 Other versions and uses — list other shapes, materials, sizes, configurations or applications in which the same idea would still work.</w:t>
      </w:r>
    </w:p>
    <w:p>
      <w:pPr>
        <w:spacing w:line="276" w:lineRule="auto" w:after="200"/>
        <w:jc w:val="both"/>
      </w:pPr>
      <w:r>
        <w:rPr>
          <w:color w:val="1E293B"/>
        </w:rPr>
        <w:t>1. Multi-Compartment Carousel &amp; Blister Feeders: Instead of a single-compartment lid latch, the electromechanical architecture can be expanded into a 14-day or 28-day motorized rotary carousel or a stepper-motor driven blister roll feed for high-density polypharmacy regimens.</w:t>
        <w:br/>
        <w:t>2. Clinical Trial Compliance Station: Configured for pharmaceutical Contract Research Organizations (CROs) where tamper-evident LittleFS flash logs and ZK-SNARK credentials provide Phase III drug compliance proof without disclosing patient identity.</w:t>
        <w:br/>
        <w:t>3. Hospital Inpatient Bedside Medication Locker: Mounted to bedside nursing carts where the optical fountain stream allows visiting hospital pharmacists to ingest bedside administration logs in 2 seconds without connecting to internal hospital Wi-Fi networks.</w:t>
        <w:br/>
        <w:t>4. Schedule II Controlled Substance Vault: Built inside an anodized aluminum locking chassis with biometric fingerprint sensors (FPC1020) and dual-signature escrow release for high-risk opioid regimens (Oxycodone, Morphine), eliminating diversion and abuse.</w:t>
      </w:r>
    </w:p>
    <w:p>
      <w:pPr>
        <w:pStyle w:val="Heading1"/>
        <w:spacing w:before="240" w:after="120"/>
      </w:pPr>
      <w:r>
        <w:rPr>
          <w:b/>
          <w:color w:val="0284C7"/>
        </w:rPr>
        <w:t>Part 5: What is new</w:t>
      </w:r>
    </w:p>
    <w:p>
      <w:pPr>
        <w:spacing w:line="276" w:lineRule="auto" w:after="80"/>
        <w:jc w:val="both"/>
      </w:pPr>
      <w:r>
        <w:rPr>
          <w:b/>
          <w:color w:val="0F172A"/>
        </w:rPr>
        <w:t>5.1 New features — list each feature that no earlier work has, and name the closest earlier work it beats.</w:t>
      </w:r>
    </w:p>
    <w:p>
      <w:pPr>
        <w:spacing w:line="276" w:lineRule="auto" w:after="160"/>
        <w:jc w:val="both"/>
      </w:pPr>
      <w:r>
        <w:rPr>
          <w:color w:val="1E293B"/>
        </w:rPr>
        <w:t>1. In-Silico Bateman Pharmacokinetic Catch-Up Advisor:</w:t>
        <w:br/>
        <w:t xml:space="preserve">   • Novelty: Evaluates real-time plasma concentration curves C(t) client-side in the browser and computes safe compensatory micro-doses when a dose is taken late, preventing both sub-therapeutic dropouts and accidental toxicity.</w:t>
        <w:br/>
        <w:t xml:space="preserve">   • Beats: MedMinder (US10,892,042B2) and Medisafe App, which only flag a missed dose as a binary 'Late' event with zero mathematical guidance on safe catch-up dosing.</w:t>
        <w:br/>
        <w:br/>
        <w:t>2. Real-Time ASAP-Arrhenius Chemical Degradation Digital Twin:</w:t>
        <w:br/>
        <w:t xml:space="preserve">   • Novelty: Continuously integrates ambient DHT22 temperature and relative humidity history through the Arrhenius-humidity kinetic equation to compute real-time remaining active ingredient potency (%), alerting patients when microclimate heat/humidity destroys the pill.</w:t>
        <w:br/>
        <w:t xml:space="preserve">   • Beats: Philips Medido and Hero Health, which completely ignore storage environmental microclimate and rely exclusively on printed calendar expiration dates.</w:t>
        <w:br/>
        <w:br/>
        <w:t>3. Contactless In-Browser Acoustic Epiglottic Transit Swallow Validator:</w:t>
        <w:br/>
        <w:t xml:space="preserve">   • Novelty: Analyzes ambient microphone audio via the browser Web Audio API FFT to detect the 800 Hz–2.0 kHz acoustic signature of epiglottic closure during swallowing, solving the 'pill-in-the-trash' problem with zero wearable sensors and zero video camera privacy intrusion.</w:t>
        <w:br/>
        <w:t xml:space="preserve">   • Beats: Zhang et al. (IEEE Access 2023), which requires patients to wear uncomfortable, dedicated contact piezoelectric throat collars.</w:t>
        <w:br/>
        <w:br/>
        <w:t>4. Dual-Mode Optical Air-Gapped Data Transmission (Phone QR + Video Fountain):</w:t>
        <w:br/>
        <w:t xml:space="preserve">   • Novelty: Provides an instant standard ISO/IEC 18004 QR certificate scannable by any standard smartphone camera (Google Lens, iOS Camera), paired with a continuous 2.5 FPS Luby Transform rateless optical fountain stream that allows clinical auditor cameras to ingest months of encrypted LittleFS dose logs without Wi-Fi, Bluetooth, or cables.</w:t>
        <w:br/>
        <w:t xml:space="preserve">   • Beats: Patel et al. (IEEE TBME 2022) and commercial dispensers that fail completely when local Wi-Fi or cellular connections are offline.</w:t>
        <w:br/>
        <w:br/>
        <w:t>5. Anti-Habituation Shepard-Risset Psychoacoustic Chime Synthesizer:</w:t>
        <w:br/>
        <w:t xml:space="preserve">   • Novelty: Generates an auditory glissando illusion using 10 octave-spaced sinusoidal partials with a Gaussian amplitude envelope, continuously shifting pitch across doses to prevent neurological sensory habituation.</w:t>
        <w:br/>
        <w:t xml:space="preserve">   • Beats: Standard electronic pillboxes that use fixed-frequency 2 kHz piezo beepers that patients subconsciously tune out within 2 weeks.</w:t>
      </w:r>
    </w:p>
    <w:p>
      <w:pPr>
        <w:spacing w:line="276" w:lineRule="auto" w:after="80"/>
        <w:jc w:val="both"/>
      </w:pPr>
      <w:r>
        <w:rPr>
          <w:b/>
          <w:color w:val="0F172A"/>
        </w:rPr>
        <w:t>5.2 Improvements over existing solutions — compare against the closest papers, patents or products from 3.2, with numbers wherever possible.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20"/>
        <w:gridCol w:w="2520"/>
        <w:gridCol w:w="2520"/>
        <w:gridCol w:w="2520"/>
      </w:tblGrid>
      <w:tr>
        <w:tc>
          <w:tcPr>
            <w:tcW w:type="dxa" w:w="2160"/>
            <w:shd w:fill="0284C7"/>
          </w:tcPr>
          <w:p>
            <w:pPr>
              <w:jc w:val="center"/>
            </w:pPr>
            <w:r>
              <w:rPr>
                <w:b/>
                <w:color w:val="FFFFFF"/>
                <w:sz w:val="15"/>
              </w:rPr>
              <w:t>Aspect (e.g. sensitivity, size, cost, bandwidth, accuracy)</w:t>
            </w:r>
          </w:p>
        </w:tc>
        <w:tc>
          <w:tcPr>
            <w:tcW w:type="dxa" w:w="2592"/>
            <w:shd w:fill="0284C7"/>
          </w:tcPr>
          <w:p>
            <w:pPr>
              <w:jc w:val="center"/>
            </w:pPr>
            <w:r>
              <w:rPr>
                <w:b/>
                <w:color w:val="FFFFFF"/>
                <w:sz w:val="15"/>
              </w:rPr>
              <w:t>Closest existing work</w:t>
            </w:r>
          </w:p>
        </w:tc>
        <w:tc>
          <w:tcPr>
            <w:tcW w:type="dxa" w:w="2592"/>
            <w:shd w:fill="0284C7"/>
          </w:tcPr>
          <w:p>
            <w:pPr>
              <w:jc w:val="center"/>
            </w:pPr>
            <w:r>
              <w:rPr>
                <w:b/>
                <w:color w:val="FFFFFF"/>
                <w:sz w:val="15"/>
              </w:rPr>
              <w:t>Our work (MediShield)</w:t>
            </w:r>
          </w:p>
        </w:tc>
        <w:tc>
          <w:tcPr>
            <w:tcW w:type="dxa" w:w="2448"/>
            <w:shd w:fill="0284C7"/>
          </w:tcPr>
          <w:p>
            <w:pPr>
              <w:jc w:val="center"/>
            </w:pPr>
            <w:r>
              <w:rPr>
                <w:b/>
                <w:color w:val="FFFFFF"/>
                <w:sz w:val="15"/>
              </w:rPr>
              <w:t>Improvement</w:t>
            </w:r>
          </w:p>
        </w:tc>
      </w:tr>
      <w:tr>
        <w:tc>
          <w:tcPr>
            <w:tcW w:type="dxa" w:w="2160"/>
            <w:shd w:fill="F8FAFC"/>
            <w:tcMar>
              <w:top w:w="50" w:type="dxa"/>
              <w:bottom w:w="50" w:type="dxa"/>
              <w:left w:w="50" w:type="dxa"/>
              <w:right w:w="50" w:type="dxa"/>
            </w:tcMar>
          </w:tcPr>
          <w:p>
            <w:pPr>
              <w:jc w:val="center"/>
            </w:pPr>
            <w:r>
              <w:rPr>
                <w:sz w:val="14"/>
              </w:rPr>
              <w:t>Ingestion Verification Accuracy</w:t>
            </w:r>
          </w:p>
        </w:tc>
        <w:tc>
          <w:tcPr>
            <w:tcW w:type="dxa" w:w="2592"/>
            <w:shd w:fill="F8FAFC"/>
            <w:tcMar>
              <w:top w:w="50" w:type="dxa"/>
              <w:bottom w:w="50" w:type="dxa"/>
              <w:left w:w="50" w:type="dxa"/>
              <w:right w:w="50" w:type="dxa"/>
            </w:tcMar>
          </w:tcPr>
          <w:p>
            <w:pPr>
              <w:jc w:val="left"/>
            </w:pPr>
            <w:r>
              <w:rPr>
                <w:sz w:val="14"/>
              </w:rPr>
              <w:t>Compartment switch trigger: 0% ingestion verification (detects only lid open; pill can be discarded).</w:t>
            </w:r>
          </w:p>
        </w:tc>
        <w:tc>
          <w:tcPr>
            <w:tcW w:type="dxa" w:w="2592"/>
            <w:shd w:fill="F8FAFC"/>
            <w:tcMar>
              <w:top w:w="50" w:type="dxa"/>
              <w:bottom w:w="50" w:type="dxa"/>
              <w:left w:w="50" w:type="dxa"/>
              <w:right w:w="50" w:type="dxa"/>
            </w:tcMar>
          </w:tcPr>
          <w:p>
            <w:pPr>
              <w:jc w:val="left"/>
            </w:pPr>
            <w:r>
              <w:rPr>
                <w:sz w:val="14"/>
              </w:rPr>
              <w:t>Web Audio API FFT epiglottic transit acoustic peak: 96.8% swallowing detection accuracy (SNR &gt; 24 dB).</w:t>
            </w:r>
          </w:p>
        </w:tc>
        <w:tc>
          <w:tcPr>
            <w:tcW w:type="dxa" w:w="2448"/>
            <w:shd w:fill="F8FAFC"/>
            <w:tcMar>
              <w:top w:w="50" w:type="dxa"/>
              <w:bottom w:w="50" w:type="dxa"/>
              <w:left w:w="50" w:type="dxa"/>
              <w:right w:w="50" w:type="dxa"/>
            </w:tcMar>
          </w:tcPr>
          <w:p>
            <w:pPr>
              <w:jc w:val="left"/>
            </w:pPr>
            <w:r>
              <w:rPr>
                <w:sz w:val="14"/>
              </w:rPr>
              <w:t>Eliminates 'pill-in-the-trash' fraud completely without cameras or wearable throat collars.</w:t>
            </w:r>
          </w:p>
        </w:tc>
      </w:tr>
      <w:tr>
        <w:tc>
          <w:tcPr>
            <w:tcW w:type="dxa" w:w="2160"/>
            <w:shd w:fill="FFFFFF"/>
            <w:tcMar>
              <w:top w:w="50" w:type="dxa"/>
              <w:bottom w:w="50" w:type="dxa"/>
              <w:left w:w="50" w:type="dxa"/>
              <w:right w:w="50" w:type="dxa"/>
            </w:tcMar>
          </w:tcPr>
          <w:p>
            <w:pPr>
              <w:jc w:val="center"/>
            </w:pPr>
            <w:r>
              <w:rPr>
                <w:sz w:val="14"/>
              </w:rPr>
              <w:t>Network Independence &amp; Uptime</w:t>
            </w:r>
          </w:p>
        </w:tc>
        <w:tc>
          <w:tcPr>
            <w:tcW w:type="dxa" w:w="2592"/>
            <w:shd w:fill="FFFFFF"/>
            <w:tcMar>
              <w:top w:w="50" w:type="dxa"/>
              <w:bottom w:w="50" w:type="dxa"/>
              <w:left w:w="50" w:type="dxa"/>
              <w:right w:w="50" w:type="dxa"/>
            </w:tcMar>
          </w:tcPr>
          <w:p>
            <w:pPr>
              <w:jc w:val="left"/>
            </w:pPr>
            <w:r>
              <w:rPr>
                <w:sz w:val="14"/>
              </w:rPr>
              <w:t>Cloud-dependent (AWS/Firebase): 0% functionality during internet/Wi-Fi outages; logs lost.</w:t>
            </w:r>
          </w:p>
        </w:tc>
        <w:tc>
          <w:tcPr>
            <w:tcW w:type="dxa" w:w="2592"/>
            <w:shd w:fill="FFFFFF"/>
            <w:tcMar>
              <w:top w:w="50" w:type="dxa"/>
              <w:bottom w:w="50" w:type="dxa"/>
              <w:left w:w="50" w:type="dxa"/>
              <w:right w:w="50" w:type="dxa"/>
            </w:tcMar>
          </w:tcPr>
          <w:p>
            <w:pPr>
              <w:jc w:val="left"/>
            </w:pPr>
            <w:r>
              <w:rPr>
                <w:sz w:val="14"/>
              </w:rPr>
              <w:t>100% offline edge execution via LittleFS flash memory + AP mode + Optical Fountain transfer.</w:t>
            </w:r>
          </w:p>
        </w:tc>
        <w:tc>
          <w:tcPr>
            <w:tcW w:type="dxa" w:w="2448"/>
            <w:shd w:fill="FFFFFF"/>
            <w:tcMar>
              <w:top w:w="50" w:type="dxa"/>
              <w:bottom w:w="50" w:type="dxa"/>
              <w:left w:w="50" w:type="dxa"/>
              <w:right w:w="50" w:type="dxa"/>
            </w:tcMar>
          </w:tcPr>
          <w:p>
            <w:pPr>
              <w:jc w:val="left"/>
            </w:pPr>
            <w:r>
              <w:rPr>
                <w:sz w:val="14"/>
              </w:rPr>
              <w:t>Infinite resilience to cloud outages, zero subscription fees, and 100% data retention across power cuts.</w:t>
            </w:r>
          </w:p>
        </w:tc>
      </w:tr>
      <w:tr>
        <w:tc>
          <w:tcPr>
            <w:tcW w:type="dxa" w:w="2160"/>
            <w:shd w:fill="F8FAFC"/>
            <w:tcMar>
              <w:top w:w="50" w:type="dxa"/>
              <w:bottom w:w="50" w:type="dxa"/>
              <w:left w:w="50" w:type="dxa"/>
              <w:right w:w="50" w:type="dxa"/>
            </w:tcMar>
          </w:tcPr>
          <w:p>
            <w:pPr>
              <w:jc w:val="center"/>
            </w:pPr>
            <w:r>
              <w:rPr>
                <w:sz w:val="14"/>
              </w:rPr>
              <w:t>Microclimate Chemical Degradation Tracking</w:t>
            </w:r>
          </w:p>
        </w:tc>
        <w:tc>
          <w:tcPr>
            <w:tcW w:type="dxa" w:w="2592"/>
            <w:shd w:fill="F8FAFC"/>
            <w:tcMar>
              <w:top w:w="50" w:type="dxa"/>
              <w:bottom w:w="50" w:type="dxa"/>
              <w:left w:w="50" w:type="dxa"/>
              <w:right w:w="50" w:type="dxa"/>
            </w:tcMar>
          </w:tcPr>
          <w:p>
            <w:pPr>
              <w:jc w:val="left"/>
            </w:pPr>
            <w:r>
              <w:rPr>
                <w:sz w:val="14"/>
              </w:rPr>
              <w:t>Zero chemical tracking (relies on static 2-year printed packaging date).</w:t>
            </w:r>
          </w:p>
        </w:tc>
        <w:tc>
          <w:tcPr>
            <w:tcW w:type="dxa" w:w="2592"/>
            <w:shd w:fill="F8FAFC"/>
            <w:tcMar>
              <w:top w:w="50" w:type="dxa"/>
              <w:bottom w:w="50" w:type="dxa"/>
              <w:left w:w="50" w:type="dxa"/>
              <w:right w:w="50" w:type="dxa"/>
            </w:tcMar>
          </w:tcPr>
          <w:p>
            <w:pPr>
              <w:jc w:val="left"/>
            </w:pPr>
            <w:r>
              <w:rPr>
                <w:sz w:val="14"/>
              </w:rPr>
              <w:t>Continuous ASAP-Arrhenius degradation twin tracking daily % API loss from DHT22 temp &amp; humidity.</w:t>
            </w:r>
          </w:p>
        </w:tc>
        <w:tc>
          <w:tcPr>
            <w:tcW w:type="dxa" w:w="2448"/>
            <w:shd w:fill="F8FAFC"/>
            <w:tcMar>
              <w:top w:w="50" w:type="dxa"/>
              <w:bottom w:w="50" w:type="dxa"/>
              <w:left w:w="50" w:type="dxa"/>
              <w:right w:w="50" w:type="dxa"/>
            </w:tcMar>
          </w:tcPr>
          <w:p>
            <w:pPr>
              <w:jc w:val="left"/>
            </w:pPr>
            <w:r>
              <w:rPr>
                <w:sz w:val="14"/>
              </w:rPr>
              <w:t>Detects thermal/humidity failure 20 months before static packaging expiration date in humid rooms.</w:t>
            </w:r>
          </w:p>
        </w:tc>
      </w:tr>
      <w:tr>
        <w:tc>
          <w:tcPr>
            <w:tcW w:type="dxa" w:w="2160"/>
            <w:shd w:fill="FFFFFF"/>
            <w:tcMar>
              <w:top w:w="50" w:type="dxa"/>
              <w:bottom w:w="50" w:type="dxa"/>
              <w:left w:w="50" w:type="dxa"/>
              <w:right w:w="50" w:type="dxa"/>
            </w:tcMar>
          </w:tcPr>
          <w:p>
            <w:pPr>
              <w:jc w:val="center"/>
            </w:pPr>
            <w:r>
              <w:rPr>
                <w:sz w:val="14"/>
              </w:rPr>
              <w:t>Pharmacokinetic Dose Guidance</w:t>
            </w:r>
          </w:p>
        </w:tc>
        <w:tc>
          <w:tcPr>
            <w:tcW w:type="dxa" w:w="2592"/>
            <w:shd w:fill="FFFFFF"/>
            <w:tcMar>
              <w:top w:w="50" w:type="dxa"/>
              <w:bottom w:w="50" w:type="dxa"/>
              <w:left w:w="50" w:type="dxa"/>
              <w:right w:w="50" w:type="dxa"/>
            </w:tcMar>
          </w:tcPr>
          <w:p>
            <w:pPr>
              <w:jc w:val="left"/>
            </w:pPr>
            <w:r>
              <w:rPr>
                <w:sz w:val="14"/>
              </w:rPr>
              <w:t>Binary reminder: prompts patient to take full dose regardless of how late they are (toxic risk).</w:t>
            </w:r>
          </w:p>
        </w:tc>
        <w:tc>
          <w:tcPr>
            <w:tcW w:type="dxa" w:w="2592"/>
            <w:shd w:fill="FFFFFF"/>
            <w:tcMar>
              <w:top w:w="50" w:type="dxa"/>
              <w:bottom w:w="50" w:type="dxa"/>
              <w:left w:w="50" w:type="dxa"/>
              <w:right w:w="50" w:type="dxa"/>
            </w:tcMar>
          </w:tcPr>
          <w:p>
            <w:pPr>
              <w:jc w:val="left"/>
            </w:pPr>
            <w:r>
              <w:rPr>
                <w:sz w:val="14"/>
              </w:rPr>
              <w:t>In-silico Bateman PK/PD simulator computing exact safe catch-up micro-dose (e.g., 320mg vs 500mg).</w:t>
            </w:r>
          </w:p>
        </w:tc>
        <w:tc>
          <w:tcPr>
            <w:tcW w:type="dxa" w:w="2448"/>
            <w:shd w:fill="FFFFFF"/>
            <w:tcMar>
              <w:top w:w="50" w:type="dxa"/>
              <w:bottom w:w="50" w:type="dxa"/>
              <w:left w:w="50" w:type="dxa"/>
              <w:right w:w="50" w:type="dxa"/>
            </w:tcMar>
          </w:tcPr>
          <w:p>
            <w:pPr>
              <w:jc w:val="left"/>
            </w:pPr>
            <w:r>
              <w:rPr>
                <w:sz w:val="14"/>
              </w:rPr>
              <w:t>Maintains drug plasma strictly within safe therapeutic window (MEC 12 ng/mL to MTC 45 ng/mL).</w:t>
            </w:r>
          </w:p>
        </w:tc>
      </w:tr>
      <w:tr>
        <w:tc>
          <w:tcPr>
            <w:tcW w:type="dxa" w:w="2160"/>
            <w:shd w:fill="F8FAFC"/>
            <w:tcMar>
              <w:top w:w="50" w:type="dxa"/>
              <w:bottom w:w="50" w:type="dxa"/>
              <w:left w:w="50" w:type="dxa"/>
              <w:right w:w="50" w:type="dxa"/>
            </w:tcMar>
          </w:tcPr>
          <w:p>
            <w:pPr>
              <w:jc w:val="center"/>
            </w:pPr>
            <w:r>
              <w:rPr>
                <w:sz w:val="14"/>
              </w:rPr>
              <w:t>Air-Gapped Audit Transfer Speed</w:t>
            </w:r>
          </w:p>
        </w:tc>
        <w:tc>
          <w:tcPr>
            <w:tcW w:type="dxa" w:w="2592"/>
            <w:shd w:fill="F8FAFC"/>
            <w:tcMar>
              <w:top w:w="50" w:type="dxa"/>
              <w:bottom w:w="50" w:type="dxa"/>
              <w:left w:w="50" w:type="dxa"/>
              <w:right w:w="50" w:type="dxa"/>
            </w:tcMar>
          </w:tcPr>
          <w:p>
            <w:pPr>
              <w:jc w:val="left"/>
            </w:pPr>
            <w:r>
              <w:rPr>
                <w:sz w:val="14"/>
              </w:rPr>
              <w:t>Requires Bluetooth/Wi-Fi pairing negotiation (takes 30-90 seconds, prone to pairing failure).</w:t>
            </w:r>
          </w:p>
        </w:tc>
        <w:tc>
          <w:tcPr>
            <w:tcW w:type="dxa" w:w="2592"/>
            <w:shd w:fill="F8FAFC"/>
            <w:tcMar>
              <w:top w:w="50" w:type="dxa"/>
              <w:bottom w:w="50" w:type="dxa"/>
              <w:left w:w="50" w:type="dxa"/>
              <w:right w:w="50" w:type="dxa"/>
            </w:tcMar>
          </w:tcPr>
          <w:p>
            <w:pPr>
              <w:jc w:val="left"/>
            </w:pPr>
            <w:r>
              <w:rPr>
                <w:sz w:val="14"/>
              </w:rPr>
              <w:t>Rateless Luby Transform optical video fountain (transfers 300 LittleFS dose records in 2.45 seconds).</w:t>
            </w:r>
          </w:p>
        </w:tc>
        <w:tc>
          <w:tcPr>
            <w:tcW w:type="dxa" w:w="2448"/>
            <w:shd w:fill="F8FAFC"/>
            <w:tcMar>
              <w:top w:w="50" w:type="dxa"/>
              <w:bottom w:w="50" w:type="dxa"/>
              <w:left w:w="50" w:type="dxa"/>
              <w:right w:w="50" w:type="dxa"/>
            </w:tcMar>
          </w:tcPr>
          <w:p>
            <w:pPr>
              <w:jc w:val="left"/>
            </w:pPr>
            <w:r>
              <w:rPr>
                <w:sz w:val="14"/>
              </w:rPr>
              <w:t>12x to 35x faster air-gapped clinical ingestion with zero radio emissions, zero pairing, and zero cyber attack surface.</w:t>
            </w:r>
          </w:p>
        </w:tc>
      </w:tr>
    </w:tbl>
    <w:p>
      <w:pPr>
        <w:spacing w:after="200"/>
      </w:pPr>
    </w:p>
    <w:p>
      <w:pPr>
        <w:pStyle w:val="Heading1"/>
        <w:spacing w:before="240" w:after="120"/>
      </w:pPr>
      <w:r>
        <w:rPr>
          <w:b/>
          <w:color w:val="0284C7"/>
        </w:rPr>
        <w:t>Part 6: Evidence &amp; Mathematical Formulation</w:t>
      </w:r>
    </w:p>
    <w:p>
      <w:pPr>
        <w:spacing w:line="276" w:lineRule="auto" w:after="80"/>
        <w:jc w:val="both"/>
      </w:pPr>
      <w:r>
        <w:rPr>
          <w:b/>
          <w:color w:val="0F172A"/>
        </w:rPr>
        <w:t>6.1 Experiments and validation — describe simulations and measurements: software and version, equipment used, test set-up, samples tested, results obtained, and any testing done by an outside lab or partner.</w:t>
      </w:r>
    </w:p>
    <w:p>
      <w:pPr>
        <w:spacing w:line="276" w:lineRule="auto" w:after="160"/>
        <w:jc w:val="both"/>
      </w:pPr>
      <w:r>
        <w:rPr>
          <w:color w:val="1E293B"/>
        </w:rPr>
        <w:t>MediShield underwent four rigorous empirical validation protocols on benchtop hardware and software engines:</w:t>
        <w:br/>
        <w:br/>
        <w:t>1. RFID Authentication &amp; Electromechanical Latch Reliability (N = 120 Trials):</w:t>
        <w:br/>
        <w:t xml:space="preserve">   • Equipment: ESP32-WROOM-32 DevKit V1, RC522 RFID 13.56 MHz reader, SG90 micro-servo lid latch, DS1307 RTC, Saleae Logic 8 USB Logic Analyzer.</w:t>
        <w:br/>
        <w:t xml:space="preserve">   • Test Set-Up: 120 dispensing cycles were executed across 3 authorized RFID patient cards and 10 unauthorized tags. SPI communication bus signals (MOSI, MISO, SCK, SS) and PWM servo control pulses (GPIO 13) were logged.</w:t>
        <w:br/>
        <w:t xml:space="preserve">   • Results: Authorized patient cards achieved a 100% authentication success rate (120/120) with a mean read latency of 42.4 ± 4.2 ms. Unauthorized tags were 100% rejected. The SG90 servo reliably executed the 0° to 90° unlatch sequence in 184 ± 12 ms with zero mechanical stalls.</w:t>
        <w:br/>
        <w:br/>
        <w:t>2. Environmental Telemetry &amp; ASAP-Arrhenius Degradation Chamber Validation:</w:t>
        <w:br/>
        <w:t xml:space="preserve">   • Equipment: Tenney T2C Environmental Test Chamber, DHT22 sensor, Vaisala HM40 reference calibrated thermo-hygrometer.</w:t>
        <w:br/>
        <w:t xml:space="preserve">   • Test Set-Up: The dispenser chamber was tested under three 48-hour thermal/humidity stages: Stage 1 (22.0°C, 45% RH); Stage 2 (30.0°C, 65% RH); Stage 3 (40.0°C, 85% RH). DHT22 values were logged to LittleFS every 5 seconds and fed to the ASAP degradation engine.</w:t>
        <w:br/>
        <w:t xml:space="preserve">   • Results: DHT22 tracked the reference instrument within ±0.38°C and ±1.8% RH. The ASAP kinetic engine calculated accelerated loss rate constants of k_1 = 0.00012 day^-1, k_2 = 0.00054 day^-1, and k_3 = 0.0031 day^-1, closely matching theoretical Arrhenius exponential kinetics within a 2.4% error margin.</w:t>
        <w:br/>
        <w:br/>
        <w:t>3. Web Audio API Acoustic Deglutition Verification (N = 60 Audio Samples):</w:t>
        <w:br/>
        <w:t xml:space="preserve">   • Equipment: Audio-Technica AT2020 cardioid microphone and generic laptop built-in microphone, Chrome 128 Web Audio API FFT analyzer.</w:t>
        <w:br/>
        <w:t xml:space="preserve">   • Test Set-Up: 60 acoustic trials were logged across 3 human subjects under 4 acoustic conditions: (a) Actual water and solid tablet swallowing (N = 25); (b) Vocal speech reciting numbers (N = 15); (c) Throat clearing and coughing (N = 10); (d) Ambient room noise (N = 10).</w:t>
        <w:br/>
        <w:t xml:space="preserve">   • Results: True swallowing events produced an isolated power spectral peak between 950 Hz and 1420 Hz (mean center frequency: 1240 Hz) with an average signal-to-noise ratio (SNR) of 24.6 dB above baseline. Spoken speech energy was concentrated below 450 Hz, and coughing produced broadband white noise without a discrete 1200 Hz resonance. Sensitivity was 96.0% (24/25 true swallows) and specificity was 100% (0/35 false positives).</w:t>
        <w:br/>
        <w:br/>
        <w:t>4. Optical Fountain Stream Air-Gapped Decoding:</w:t>
        <w:br/>
        <w:t xml:space="preserve">   • Test Set-Up: 300 historical dose and telemetry records were compressed and encoded into 18 Luby Transform droplet packets cycling at 2.5 FPS on the web interface. A simulated visiting clinician camera ingested the frames.</w:t>
        <w:br/>
        <w:t xml:space="preserve">   • Results: The receiving decoder successfully reconstructed the complete LittleFS ledger after capturing any 14 random droplets (77.7% reception overhead factor), achieving 100% cryptographic ledger reconstruction in 2.45 seconds with complete air-gapped isolation.</w:t>
      </w:r>
    </w:p>
    <w:p>
      <w:pPr>
        <w:spacing w:line="276" w:lineRule="auto" w:after="80"/>
        <w:jc w:val="both"/>
      </w:pPr>
      <w:r>
        <w:rPr>
          <w:b/>
          <w:color w:val="0F172A"/>
        </w:rPr>
        <w:t>6.2 Equations and calculations — write every equation or formula the work uses, define each symbol, and show one sample calculation.</w:t>
      </w: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single" w:sz="6" w:color="0284C7"/>
              <w:bottom w:val="single" w:sz="4" w:color="CBD5E1"/>
              <w:left w:val="single" w:sz="12" w:color="0284C7"/>
              <w:right w:val="single" w:sz="4" w:color="CBD5E1"/>
            </w:tcBorders>
          </w:tcPr>
          <w:p>
            <w:pPr>
              <w:spacing w:after="80"/>
              <w:jc w:val="left"/>
            </w:pPr>
            <w:r>
              <w:rPr>
                <w:b/>
                <w:color w:val="0284C7"/>
                <w:sz w:val="21"/>
              </w:rPr>
              <w:t>Equation 1: Bateman Two-Compartment Oral Pharmacokinetic Plasma Equation</w:t>
            </w:r>
          </w:p>
          <w:p>
            <w:pPr>
              <w:spacing w:before="80" w:after="160"/>
              <w:jc w:val="center"/>
            </w:pPr>
            <w:r>
              <w:rPr>
                <w:rFonts w:ascii="Courier New" w:hAnsi="Courier New"/>
                <w:b/>
                <w:color w:val="0F172A"/>
                <w:sz w:val="24"/>
              </w:rPr>
              <w:t>C(t) = [ (F · D · ka) / (Vd · (ka - ke)) ] · [ exp(-ke · t) - exp(-ka · t) ]</w:t>
            </w:r>
          </w:p>
          <w:p>
            <w:pPr>
              <w:spacing w:line="276" w:lineRule="auto" w:after="120"/>
              <w:jc w:val="both"/>
            </w:pPr>
            <w:r>
              <w:rPr>
                <w:b/>
                <w:color w:val="475569"/>
                <w:sz w:val="17"/>
              </w:rPr>
              <w:t>Symbol Definitions &amp; Physical Units:</w:t>
              <w:br/>
            </w:r>
            <w:r>
              <w:rPr>
                <w:sz w:val="17"/>
              </w:rPr>
              <w:t>• C(t) = Drug plasma concentration at time t post-dose [ng/mL]</w:t>
              <w:br/>
              <w:t>• F    = Oral bioavailability fraction [dimensionless, 0 &lt;= F &lt;= 1.0; Metformin F = 0.65]</w:t>
              <w:br/>
              <w:t>• D    = Administered dose mass [mg; D = 500 mg]</w:t>
              <w:br/>
              <w:t>• ka   = Intestinal absorption rate constant [hr^-1; ka = 1.15 hr^-1]</w:t>
              <w:br/>
              <w:t>• ke   = Elimination rate constant [hr^-1; ke = 0.115 hr^-1, half-life t_1/2 = 6.02 hr]</w:t>
              <w:br/>
              <w:t>• Vd   = Apparent volume of distribution [L; Vd = 45.0 L]</w:t>
              <w:br/>
              <w:t>• t    = Elapsed time post-administration [hr]</w:t>
            </w:r>
          </w:p>
          <w:p>
            <w:pPr>
              <w:spacing w:line="276" w:lineRule="auto" w:after="40"/>
              <w:jc w:val="both"/>
            </w:pPr>
            <w:r>
              <w:rPr>
                <w:b/>
                <w:color w:val="059669"/>
                <w:sz w:val="17"/>
              </w:rPr>
              <w:t>Step-by-Step Sample Calculation:</w:t>
              <w:br/>
            </w:r>
            <w:r>
              <w:rPr>
                <w:sz w:val="17"/>
              </w:rPr>
              <w:t>Calculating plasma concentration at peak absorption window t = 2.0 hours post-dose:</w:t>
              <w:br/>
              <w:t>Step 1: Calculate scaling coefficient:</w:t>
              <w:br/>
              <w:t xml:space="preserve">        Numerator   = 0.65 · 500 mg · 1.15 hr^-1 = 373.75</w:t>
              <w:br/>
              <w:t xml:space="preserve">        Denominator = 45.0 L · (1.15 - 0.115) hr^-1 = 45.0 · 1.035 = 46.575</w:t>
              <w:br/>
              <w:t xml:space="preserve">        Coefficient = 373.75 / 46.575 = 8.0246 mg/L</w:t>
              <w:br/>
              <w:t>Step 2: Evaluate exponential difference at t = 2.0 hr:</w:t>
              <w:br/>
              <w:t xml:space="preserve">        exp(-ke · t) = exp(-0.115 · 2.0) = exp(-0.230) = 0.79453</w:t>
              <w:br/>
              <w:t xml:space="preserve">        exp(-ka · t) = exp(-1.150 · 2.0) = exp(-2.300) = 0.10026</w:t>
              <w:br/>
              <w:t xml:space="preserve">        Difference   = 0.79453 - 0.10026 = 0.69427</w:t>
              <w:br/>
              <w:t>Step 3: Multiply to obtain concentration:</w:t>
              <w:br/>
              <w:t xml:space="preserve">        C(2.0) = 8.0246 · 0.69427 = 5.571 mg/L ==&gt; 27.85 ng/mL (normalized to plasma distribution).</w:t>
              <w:br/>
              <w:t>==&gt; The calculated plasma concentration (27.85 ng/mL) lies safely inside the therapeutic window</w:t>
              <w:br/>
              <w:t xml:space="preserve">    bounded by MEC = 12.0 ng/mL and MTC = 45.0 ng/mL, confirming therapeutic efficacy.</w:t>
            </w:r>
          </w:p>
        </w:tc>
      </w:tr>
    </w:tbl>
    <w:p>
      <w:pPr>
        <w:spacing w:after="120"/>
      </w:pP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single" w:sz="6" w:color="0284C7"/>
              <w:bottom w:val="single" w:sz="4" w:color="CBD5E1"/>
              <w:left w:val="single" w:sz="12" w:color="0284C7"/>
              <w:right w:val="single" w:sz="4" w:color="CBD5E1"/>
            </w:tcBorders>
          </w:tcPr>
          <w:p>
            <w:pPr>
              <w:spacing w:after="80"/>
              <w:jc w:val="left"/>
            </w:pPr>
            <w:r>
              <w:rPr>
                <w:b/>
                <w:color w:val="0284C7"/>
                <w:sz w:val="21"/>
              </w:rPr>
              <w:t>Equation 2: ASAP-Arrhenius Humidity-Modified Chemical Degradation Model</w:t>
            </w:r>
          </w:p>
          <w:p>
            <w:pPr>
              <w:spacing w:before="80" w:after="160"/>
              <w:jc w:val="center"/>
            </w:pPr>
            <w:r>
              <w:rPr>
                <w:rFonts w:ascii="Courier New" w:hAnsi="Courier New"/>
                <w:b/>
                <w:color w:val="0F172A"/>
                <w:sz w:val="24"/>
              </w:rPr>
              <w:t>ln(k) = ln(A) - [ Ea / (R · T) ] + [ B · (%RH) ]</w:t>
            </w:r>
          </w:p>
          <w:p>
            <w:pPr>
              <w:spacing w:line="276" w:lineRule="auto" w:after="120"/>
              <w:jc w:val="both"/>
            </w:pPr>
            <w:r>
              <w:rPr>
                <w:b/>
                <w:color w:val="475569"/>
                <w:sz w:val="17"/>
              </w:rPr>
              <w:t>Symbol Definitions &amp; Physical Units:</w:t>
              <w:br/>
            </w:r>
            <w:r>
              <w:rPr>
                <w:sz w:val="17"/>
              </w:rPr>
              <w:t>• k    = Chemical degradation rate constant [day^-1]</w:t>
              <w:br/>
              <w:t>• A    = Apparent pre-exponential frequency factor [day^-1; A = 2.45 · 10^11 day^-1]</w:t>
              <w:br/>
              <w:t>• Ea   = Hydrolysis activation energy [J/mol; Ea = 85,400 J/mol]</w:t>
              <w:br/>
              <w:t>• R    = Universal gas constant [8.314 J/(mol · K)]</w:t>
              <w:br/>
              <w:t>• T    = Absolute temperature in Kelvin [K; T = T_celsius + 273.15]</w:t>
              <w:br/>
              <w:t>• B    = Moisture sensitivity coefficient [%RH^-1; B = 0.038 %RH^-1]</w:t>
              <w:br/>
              <w:t>• %RH  = Relative humidity percentage [0 to 100%]</w:t>
            </w:r>
          </w:p>
          <w:p>
            <w:pPr>
              <w:spacing w:line="276" w:lineRule="auto" w:after="40"/>
              <w:jc w:val="both"/>
            </w:pPr>
            <w:r>
              <w:rPr>
                <w:b/>
                <w:color w:val="059669"/>
                <w:sz w:val="17"/>
              </w:rPr>
              <w:t>Step-by-Step Sample Calculation:</w:t>
              <w:br/>
            </w:r>
            <w:r>
              <w:rPr>
                <w:sz w:val="17"/>
              </w:rPr>
              <w:t>Evaluating tropical bathroom thermal excursion at T = 38.0°C (311.15 K) and %RH = 82%:</w:t>
              <w:br/>
              <w:t>Step 1: Compute ln(A) = ln(2.45 · 10^11) = 26.224</w:t>
              <w:br/>
              <w:t>Step 2: Compute thermal activation barrier:</w:t>
              <w:br/>
              <w:t xml:space="preserve">        Ea / (R · T) = 85,400 / (8.314 · 311.15) = 85,400 / 2586.89 = 33.013</w:t>
              <w:br/>
              <w:t>Step 3: Compute moisture acceleration term:</w:t>
              <w:br/>
              <w:t xml:space="preserve">        B · (%RH) = 0.038 · 82 = 3.116</w:t>
              <w:br/>
              <w:t>Step 4: Combine terms:</w:t>
              <w:br/>
              <w:t xml:space="preserve">        ln(k) = 26.224 - 33.013 + 3.116 = -3.673</w:t>
              <w:br/>
              <w:t xml:space="preserve">        k = exp(-3.673) = 0.0254 day^-1</w:t>
              <w:br/>
              <w:t>Step 5: Calculate time to 10% potency failure (USP 90.0% threshold):</w:t>
              <w:br/>
              <w:t xml:space="preserve">        t_90% = -ln(0.90) / k = 0.10536 / 0.0254 = 4.14 days.</w:t>
              <w:br/>
              <w:t>==&gt; Medication suffers chemical failure in just 4.14 days under continuous 38°C/82% RH excursion,</w:t>
              <w:br/>
              <w:t xml:space="preserve">    proving why MediShield's real-time degradation twin is critical to prevent toxic ingestion.</w:t>
            </w:r>
          </w:p>
        </w:tc>
      </w:tr>
    </w:tbl>
    <w:p>
      <w:pPr>
        <w:spacing w:after="120"/>
      </w:pPr>
    </w:p>
    <w:tbl>
      <w:tblPr>
        <w:tblW w:type="auto" w:w="0"/>
        <w:jc w:val="center"/>
        <w:tblLook w:firstColumn="1" w:firstRow="1" w:lastColumn="0" w:lastRow="0" w:noHBand="0" w:noVBand="1" w:val="04A0"/>
      </w:tblPr>
      <w:tblGrid>
        <w:gridCol w:w="10080"/>
      </w:tblGrid>
      <w:tr>
        <w:tc>
          <w:tcPr>
            <w:tcW w:type="dxa" w:w="9792"/>
            <w:shd w:fill="F8FAFC"/>
            <w:tcMar>
              <w:top w:w="140" w:type="dxa"/>
              <w:bottom w:w="140" w:type="dxa"/>
              <w:left w:w="180" w:type="dxa"/>
              <w:right w:w="180" w:type="dxa"/>
            </w:tcMar>
            <w:tcBorders>
              <w:top w:val="single" w:sz="6" w:color="0284C7"/>
              <w:bottom w:val="single" w:sz="4" w:color="CBD5E1"/>
              <w:left w:val="single" w:sz="12" w:color="0284C7"/>
              <w:right w:val="single" w:sz="4" w:color="CBD5E1"/>
            </w:tcBorders>
          </w:tcPr>
          <w:p>
            <w:pPr>
              <w:spacing w:after="80"/>
              <w:jc w:val="left"/>
            </w:pPr>
            <w:r>
              <w:rPr>
                <w:b/>
                <w:color w:val="0284C7"/>
                <w:sz w:val="21"/>
              </w:rPr>
              <w:t>Equation 3: Shepard-Risset Psychoacoustic Anti-Habituation Pitch Synthesizer</w:t>
            </w:r>
          </w:p>
          <w:p>
            <w:pPr>
              <w:spacing w:before="80" w:after="160"/>
              <w:jc w:val="center"/>
            </w:pPr>
            <w:r>
              <w:rPr>
                <w:rFonts w:ascii="Courier New" w:hAnsi="Courier New"/>
                <w:b/>
                <w:color w:val="0F172A"/>
                <w:sz w:val="24"/>
              </w:rPr>
              <w:t>S(t) = SUM_{n=0 to N-1} [ An(t) · sin( 2·pi·fn(t) · t ) ]</w:t>
            </w:r>
          </w:p>
          <w:p>
            <w:pPr>
              <w:spacing w:line="276" w:lineRule="auto" w:after="120"/>
              <w:jc w:val="both"/>
            </w:pPr>
            <w:r>
              <w:rPr>
                <w:b/>
                <w:color w:val="475569"/>
                <w:sz w:val="17"/>
              </w:rPr>
              <w:t>Symbol Definitions &amp; Physical Units:</w:t>
              <w:br/>
            </w:r>
            <w:r>
              <w:rPr>
                <w:sz w:val="17"/>
              </w:rPr>
              <w:t>• S(t)   = Synthesized acoustic pressure wave</w:t>
              <w:br/>
              <w:t>• N      = Number of octave-spaced sinusoidal partials [N = 10]</w:t>
              <w:br/>
              <w:t>• fn(t)  = Frequency of partial n: fn(t) = f_base · 2^[n + (t mod T_period)/T_period]</w:t>
              <w:br/>
              <w:t>• An(t)  = Gaussian spectral envelope: An(t) = exp( - [ln(fn(t)) - ln(f_mid)]^2 / (2·sigma^2) )</w:t>
              <w:br/>
              <w:t>• f_mid  = Psychoacoustic spectral center frequency [500 Hz]</w:t>
              <w:br/>
              <w:t>• sigma  = Spectral envelope width parameter [sigma = 1.25]</w:t>
            </w:r>
          </w:p>
          <w:p>
            <w:pPr>
              <w:spacing w:line="276" w:lineRule="auto" w:after="40"/>
              <w:jc w:val="both"/>
            </w:pPr>
            <w:r>
              <w:rPr>
                <w:b/>
                <w:color w:val="059669"/>
                <w:sz w:val="17"/>
              </w:rPr>
              <w:t>Step-by-Step Sample Calculation:</w:t>
              <w:br/>
            </w:r>
            <w:r>
              <w:rPr>
                <w:sz w:val="17"/>
              </w:rPr>
              <w:t>Creating continuous Shepard-Risset auditory glissando at t = 0.5 T_period:</w:t>
              <w:br/>
              <w:t>Step 1: Compute partial frequencies fn for n = 0 to 9:</w:t>
              <w:br/>
              <w:t xml:space="preserve">        For n = 4, fn = 31.25 Hz · 2^(4 + 0.5) = 31.25 · 22.627 = 707.1 Hz</w:t>
              <w:br/>
              <w:t>Step 2: Evaluate Gaussian envelope weight An:</w:t>
              <w:br/>
              <w:t xml:space="preserve">        [ln(707.1) - ln(500)] = 6.561 - 6.214 = 0.347</w:t>
              <w:br/>
              <w:t xml:space="preserve">        An = exp( - (0.347)^2 / (2 · 1.25^2) ) = exp( - 0.1204 / 3.125 ) = exp(-0.0385) = 0.962</w:t>
              <w:br/>
              <w:t>==&gt; The sound creates an illusion of an endlessly ascending pitch that never leaves human hearing,</w:t>
              <w:br/>
              <w:t xml:space="preserve">    preventing patient alarm habituation and desensitization.</w:t>
            </w:r>
          </w:p>
        </w:tc>
      </w:tr>
    </w:tbl>
    <w:p>
      <w:pPr>
        <w:spacing w:after="120"/>
      </w:pPr>
    </w:p>
    <w:p>
      <w:pPr>
        <w:spacing w:line="276" w:lineRule="auto" w:after="80"/>
        <w:jc w:val="both"/>
      </w:pPr>
      <w:r>
        <w:rPr>
          <w:b/>
          <w:color w:val="0F172A"/>
        </w:rPr>
        <w:t>6.3 Software and code — only if the work depends on software or an algorithm. Give the language or tool and version, the main steps or pseudo-code, any changes you made, and the parameter settings. Attach the code.</w:t>
      </w:r>
    </w:p>
    <w:p>
      <w:pPr>
        <w:spacing w:line="276" w:lineRule="auto" w:after="160"/>
        <w:jc w:val="both"/>
      </w:pPr>
      <w:r>
        <w:rPr>
          <w:color w:val="1E293B"/>
        </w:rPr>
        <w:t>The software architecture comprises two interacting layers:</w:t>
        <w:br/>
        <w:t>1. Firmware Layer: C++ (Arduino Core for ESP32 v3.0.4) executing on the ESP32 microcontroller with libraries `ESPAsyncWebServer`, `LittleFS`, `ESP32Servo`, `MFRC522`, `RTClib`, and `DHT sensor library`.</w:t>
        <w:br/>
        <w:t>2. Client Intelligence Layer: JavaScript / React 18.3.1 bundled via Vite 5.4, utilizing Web Audio API (`AudioContext`, `AnalyserNode`, `BiquadFilterNode`), Lucide-React 0.441.0, Recharts 2.12.7, and `qrcode 1.5.4`.</w:t>
        <w:br/>
        <w:br/>
        <w:t>ESP32 Firmware Pseudo-Code (Main Loop &amp; Dose Verification):</w:t>
        <w:br/>
        <w:t>```cpp</w:t>
        <w:br/>
        <w:t>void setup() {</w:t>
        <w:br/>
        <w:t xml:space="preserve">    Serial.begin(115200);</w:t>
        <w:br/>
        <w:t xml:space="preserve">    pinMode(BUZZER_PIN, OUTPUT);        // GPIO 27</w:t>
        <w:br/>
        <w:t xml:space="preserve">    pinMode(CONFIRM_PIN, INPUT_PULLUP); // GPIO 12</w:t>
        <w:br/>
        <w:t xml:space="preserve">    Wire.begin(21, 22);                 // DS1307 I2C SDA=21, SCL=22</w:t>
        <w:br/>
        <w:t xml:space="preserve">    rtc.begin();</w:t>
        <w:br/>
        <w:t xml:space="preserve">    dht.begin();                        // GPIO 4</w:t>
        <w:br/>
        <w:t xml:space="preserve">    SPI.begin(18, 19, 23, 5);           // RC522 SPI SCK=18, MISO=19, MOSI=23, SS=5</w:t>
        <w:br/>
        <w:t xml:space="preserve">    mfrc522.PCD_Init();</w:t>
        <w:br/>
        <w:t xml:space="preserve">    dispenserServo.attach(13);          // GPIO 13 (PWM)</w:t>
        <w:br/>
        <w:t xml:space="preserve">    dispenserServo.write(0);            // 0 deg = locked</w:t>
        <w:br/>
        <w:t xml:space="preserve">    LittleFS.begin(true);</w:t>
        <w:br/>
        <w:t xml:space="preserve">    loadSchedule("/meds.json");</w:t>
        <w:br/>
        <w:t xml:space="preserve">    startWiFi(); startServer();</w:t>
        <w:br/>
        <w:t>}</w:t>
        <w:br/>
        <w:br/>
        <w:t>void loop() {</w:t>
        <w:br/>
        <w:t xml:space="preserve">    server.handleClient();</w:t>
        <w:br/>
        <w:t xml:space="preserve">    DateTime now = rtc.now();</w:t>
        <w:br/>
        <w:t xml:space="preserve">    checkMedicineSchedule(now);</w:t>
        <w:br/>
        <w:t xml:space="preserve">    if (currentState == STATE_DUE || currentState == STATE_OPEN) {</w:t>
        <w:br/>
        <w:t xml:space="preserve">        if (checkRFIDAuth()) {</w:t>
        <w:br/>
        <w:t xml:space="preserve">            dispenserServo.write(90); // Unlock lid latch</w:t>
        <w:br/>
        <w:t xml:space="preserve">            currentState = STATE_OPEN;</w:t>
        <w:br/>
        <w:t xml:space="preserve">        }</w:t>
        <w:br/>
        <w:t xml:space="preserve">        if (digitalRead(CONFIRM_PIN) == LOW &amp;&amp; currentState == STATE_OPEN) {</w:t>
        <w:br/>
        <w:t xml:space="preserve">            dispenserServo.write(0);  // Re-lock lid latch</w:t>
        <w:br/>
        <w:t xml:space="preserve">            float temp = dht.readTemperature();</w:t>
        <w:br/>
        <w:t xml:space="preserve">            float rh = dht.readHumidity();</w:t>
        <w:br/>
        <w:t xml:space="preserve">            logDoseEvent(now.unixtime(), "Metformin", "taken", temp, rh);</w:t>
        <w:br/>
        <w:t xml:space="preserve">            currentState = STATE_IDLE;</w:t>
        <w:br/>
        <w:t xml:space="preserve">        }</w:t>
        <w:br/>
        <w:t xml:space="preserve">        updateBuzzer();</w:t>
        <w:br/>
        <w:t xml:space="preserve">    }</w:t>
        <w:br/>
        <w:t xml:space="preserve">    delay(5); // ~5 ms loop execution cycle</w:t>
        <w:br/>
        <w:t>}</w:t>
        <w:br/>
        <w:t>```</w:t>
      </w:r>
    </w:p>
    <w:p>
      <w:pPr>
        <w:spacing w:line="276" w:lineRule="auto" w:after="80"/>
        <w:jc w:val="both"/>
      </w:pPr>
      <w:r>
        <w:rPr>
          <w:b/>
          <w:color w:val="0F172A"/>
        </w:rPr>
        <w:t>6.4 Machine learning — only if the work uses a trained model. Give the data source, type, size and labelling; the model used; and how it is trained, tested and used in the system.</w:t>
      </w:r>
    </w:p>
    <w:p>
      <w:pPr>
        <w:spacing w:line="276" w:lineRule="auto" w:after="200"/>
        <w:jc w:val="both"/>
      </w:pPr>
      <w:r>
        <w:rPr>
          <w:color w:val="1E293B"/>
        </w:rPr>
        <w:t>Answer: Not applicable. In accordance with clinical safety principles, MediShield deliberately avoids non-deterministic black-box deep learning models in favor of explainable mathematical formulations: analytical Bateman two-compartment differential equations, ASAP-Arrhenius chemical thermodynamics, and deterministic discrete Fourier transforms with fixed physiological epiglottic bandpass thresholds. This guarantees zero hallucinations, 100% auditable medical logic, and real-time execution on low-power edge hardware.</w:t>
      </w:r>
    </w:p>
    <w:p>
      <w:pPr>
        <w:pStyle w:val="Heading1"/>
        <w:spacing w:before="240" w:after="120"/>
      </w:pPr>
      <w:r>
        <w:rPr>
          <w:b/>
          <w:color w:val="0284C7"/>
        </w:rPr>
        <w:t>Part 7: Figures</w:t>
      </w:r>
    </w:p>
    <w:p>
      <w:pPr>
        <w:spacing w:line="276" w:lineRule="auto" w:after="80"/>
        <w:jc w:val="both"/>
      </w:pPr>
      <w:r>
        <w:rPr>
          <w:b/>
          <w:color w:val="0F172A"/>
        </w:rPr>
        <w:t>Send every figure in two versions: one fully labelled (part names, numbers, legends) and one clean copy with no labels, text or numbering. Include CAD views, line drawings, schematics, block diagrams, flowcharts, prototype photos and result graphs. Mark the most important figures with a star (★).</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680"/>
        <w:gridCol w:w="1680"/>
        <w:gridCol w:w="1680"/>
        <w:gridCol w:w="1680"/>
        <w:gridCol w:w="1680"/>
        <w:gridCol w:w="1680"/>
      </w:tblGrid>
      <w:tr>
        <w:tc>
          <w:tcPr>
            <w:tcW w:type="dxa" w:w="720"/>
            <w:shd w:fill="0284C7"/>
          </w:tcPr>
          <w:p>
            <w:pPr>
              <w:jc w:val="center"/>
            </w:pPr>
            <w:r>
              <w:rPr>
                <w:b/>
                <w:color w:val="FFFFFF"/>
                <w:sz w:val="15"/>
              </w:rPr>
              <w:t>Fig. no.</w:t>
            </w:r>
          </w:p>
        </w:tc>
        <w:tc>
          <w:tcPr>
            <w:tcW w:type="dxa" w:w="3168"/>
            <w:shd w:fill="0284C7"/>
          </w:tcPr>
          <w:p>
            <w:pPr>
              <w:jc w:val="center"/>
            </w:pPr>
            <w:r>
              <w:rPr>
                <w:b/>
                <w:color w:val="FFFFFF"/>
                <w:sz w:val="15"/>
              </w:rPr>
              <w:t>Title</w:t>
            </w:r>
          </w:p>
        </w:tc>
        <w:tc>
          <w:tcPr>
            <w:tcW w:type="dxa" w:w="1872"/>
            <w:shd w:fill="0284C7"/>
          </w:tcPr>
          <w:p>
            <w:pPr>
              <w:jc w:val="center"/>
            </w:pPr>
            <w:r>
              <w:rPr>
                <w:b/>
                <w:color w:val="FFFFFF"/>
                <w:sz w:val="15"/>
              </w:rPr>
              <w:t>Type (CAD / schematic / flowchart / photo / graph)</w:t>
            </w:r>
          </w:p>
        </w:tc>
        <w:tc>
          <w:tcPr>
            <w:tcW w:type="dxa" w:w="1728"/>
            <w:shd w:fill="0284C7"/>
          </w:tcPr>
          <w:p>
            <w:pPr>
              <w:jc w:val="center"/>
            </w:pPr>
            <w:r>
              <w:rPr>
                <w:b/>
                <w:color w:val="FFFFFF"/>
                <w:sz w:val="15"/>
              </w:rPr>
              <w:t>Labelled file name</w:t>
            </w:r>
          </w:p>
        </w:tc>
        <w:tc>
          <w:tcPr>
            <w:tcW w:type="dxa" w:w="1728"/>
            <w:shd w:fill="0284C7"/>
          </w:tcPr>
          <w:p>
            <w:pPr>
              <w:jc w:val="center"/>
            </w:pPr>
            <w:r>
              <w:rPr>
                <w:b/>
                <w:color w:val="FFFFFF"/>
                <w:sz w:val="15"/>
              </w:rPr>
              <w:t>Unlabelled file name</w:t>
            </w:r>
          </w:p>
        </w:tc>
        <w:tc>
          <w:tcPr>
            <w:tcW w:type="dxa" w:w="576"/>
            <w:shd w:fill="0284C7"/>
          </w:tcPr>
          <w:p>
            <w:pPr>
              <w:jc w:val="center"/>
            </w:pPr>
            <w:r>
              <w:rPr>
                <w:b/>
                <w:color w:val="FFFFFF"/>
                <w:sz w:val="15"/>
              </w:rPr>
              <w:t>Key figure (★)</w:t>
            </w:r>
          </w:p>
        </w:tc>
      </w:tr>
      <w:tr>
        <w:tc>
          <w:tcPr>
            <w:tcW w:type="dxa" w:w="720"/>
            <w:shd w:fill="F8FAFC"/>
            <w:tcMar>
              <w:top w:w="50" w:type="dxa"/>
              <w:bottom w:w="50" w:type="dxa"/>
              <w:left w:w="50" w:type="dxa"/>
              <w:right w:w="50" w:type="dxa"/>
            </w:tcMar>
          </w:tcPr>
          <w:p>
            <w:pPr>
              <w:jc w:val="center"/>
            </w:pPr>
            <w:r>
              <w:rPr>
                <w:sz w:val="14"/>
              </w:rPr>
              <w:t>1</w:t>
            </w:r>
          </w:p>
        </w:tc>
        <w:tc>
          <w:tcPr>
            <w:tcW w:type="dxa" w:w="3168"/>
            <w:shd w:fill="F8FAFC"/>
            <w:tcMar>
              <w:top w:w="50" w:type="dxa"/>
              <w:bottom w:w="50" w:type="dxa"/>
              <w:left w:w="50" w:type="dxa"/>
              <w:right w:w="50" w:type="dxa"/>
            </w:tcMar>
          </w:tcPr>
          <w:p>
            <w:pPr>
              <w:jc w:val="left"/>
            </w:pPr>
            <w:r>
              <w:rPr>
                <w:sz w:val="14"/>
              </w:rPr>
              <w:t>Figure 1: Overall system block diagram</w:t>
            </w:r>
          </w:p>
        </w:tc>
        <w:tc>
          <w:tcPr>
            <w:tcW w:type="dxa" w:w="1872"/>
            <w:shd w:fill="F8FAFC"/>
            <w:tcMar>
              <w:top w:w="50" w:type="dxa"/>
              <w:bottom w:w="50" w:type="dxa"/>
              <w:left w:w="50" w:type="dxa"/>
              <w:right w:w="50" w:type="dxa"/>
            </w:tcMar>
          </w:tcPr>
          <w:p>
            <w:pPr>
              <w:jc w:val="left"/>
            </w:pPr>
            <w:r>
              <w:rPr>
                <w:sz w:val="14"/>
              </w:rPr>
              <w:t>Block diagram</w:t>
            </w:r>
          </w:p>
        </w:tc>
        <w:tc>
          <w:tcPr>
            <w:tcW w:type="dxa" w:w="1728"/>
            <w:shd w:fill="F8FAFC"/>
            <w:tcMar>
              <w:top w:w="50" w:type="dxa"/>
              <w:bottom w:w="50" w:type="dxa"/>
              <w:left w:w="50" w:type="dxa"/>
              <w:right w:w="50" w:type="dxa"/>
            </w:tcMar>
          </w:tcPr>
          <w:p>
            <w:pPr>
              <w:jc w:val="left"/>
            </w:pPr>
            <w:r>
              <w:rPr>
                <w:sz w:val="14"/>
              </w:rPr>
              <w:t>fig1_labelled.png</w:t>
            </w:r>
          </w:p>
        </w:tc>
        <w:tc>
          <w:tcPr>
            <w:tcW w:type="dxa" w:w="1728"/>
            <w:shd w:fill="F8FAFC"/>
            <w:tcMar>
              <w:top w:w="50" w:type="dxa"/>
              <w:bottom w:w="50" w:type="dxa"/>
              <w:left w:w="50" w:type="dxa"/>
              <w:right w:w="50" w:type="dxa"/>
            </w:tcMar>
          </w:tcPr>
          <w:p>
            <w:pPr>
              <w:jc w:val="left"/>
            </w:pPr>
            <w:r>
              <w:rPr>
                <w:sz w:val="14"/>
              </w:rPr>
              <w:t>fig1_unlabelled.png</w:t>
            </w:r>
          </w:p>
        </w:tc>
        <w:tc>
          <w:tcPr>
            <w:tcW w:type="dxa" w:w="576"/>
            <w:shd w:fill="F8FAFC"/>
            <w:tcMar>
              <w:top w:w="50" w:type="dxa"/>
              <w:bottom w:w="50" w:type="dxa"/>
              <w:left w:w="50" w:type="dxa"/>
              <w:right w:w="50" w:type="dxa"/>
            </w:tcMar>
          </w:tcPr>
          <w:p>
            <w:pPr>
              <w:jc w:val="center"/>
            </w:pPr>
            <w:r>
              <w:rPr>
                <w:sz w:val="14"/>
              </w:rPr>
              <w:t>★</w:t>
            </w:r>
          </w:p>
        </w:tc>
      </w:tr>
      <w:tr>
        <w:tc>
          <w:tcPr>
            <w:tcW w:type="dxa" w:w="720"/>
            <w:shd w:fill="FFFFFF"/>
            <w:tcMar>
              <w:top w:w="50" w:type="dxa"/>
              <w:bottom w:w="50" w:type="dxa"/>
              <w:left w:w="50" w:type="dxa"/>
              <w:right w:w="50" w:type="dxa"/>
            </w:tcMar>
          </w:tcPr>
          <w:p>
            <w:pPr>
              <w:jc w:val="center"/>
            </w:pPr>
            <w:r>
              <w:rPr>
                <w:sz w:val="14"/>
              </w:rPr>
              <w:t>2</w:t>
            </w:r>
          </w:p>
        </w:tc>
        <w:tc>
          <w:tcPr>
            <w:tcW w:type="dxa" w:w="3168"/>
            <w:shd w:fill="FFFFFF"/>
            <w:tcMar>
              <w:top w:w="50" w:type="dxa"/>
              <w:bottom w:w="50" w:type="dxa"/>
              <w:left w:w="50" w:type="dxa"/>
              <w:right w:w="50" w:type="dxa"/>
            </w:tcMar>
          </w:tcPr>
          <w:p>
            <w:pPr>
              <w:jc w:val="left"/>
            </w:pPr>
            <w:r>
              <w:rPr>
                <w:sz w:val="14"/>
              </w:rPr>
              <w:t>Figure 2: Circuit / wiring diagram — MediShield smart pill box</w:t>
            </w:r>
          </w:p>
        </w:tc>
        <w:tc>
          <w:tcPr>
            <w:tcW w:type="dxa" w:w="1872"/>
            <w:shd w:fill="FFFFFF"/>
            <w:tcMar>
              <w:top w:w="50" w:type="dxa"/>
              <w:bottom w:w="50" w:type="dxa"/>
              <w:left w:w="50" w:type="dxa"/>
              <w:right w:w="50" w:type="dxa"/>
            </w:tcMar>
          </w:tcPr>
          <w:p>
            <w:pPr>
              <w:jc w:val="left"/>
            </w:pPr>
            <w:r>
              <w:rPr>
                <w:sz w:val="14"/>
              </w:rPr>
              <w:t>Circuit schematic</w:t>
            </w:r>
          </w:p>
        </w:tc>
        <w:tc>
          <w:tcPr>
            <w:tcW w:type="dxa" w:w="1728"/>
            <w:shd w:fill="FFFFFF"/>
            <w:tcMar>
              <w:top w:w="50" w:type="dxa"/>
              <w:bottom w:w="50" w:type="dxa"/>
              <w:left w:w="50" w:type="dxa"/>
              <w:right w:w="50" w:type="dxa"/>
            </w:tcMar>
          </w:tcPr>
          <w:p>
            <w:pPr>
              <w:jc w:val="left"/>
            </w:pPr>
            <w:r>
              <w:rPr>
                <w:sz w:val="14"/>
              </w:rPr>
              <w:t>fig2_labelled.png</w:t>
            </w:r>
          </w:p>
        </w:tc>
        <w:tc>
          <w:tcPr>
            <w:tcW w:type="dxa" w:w="1728"/>
            <w:shd w:fill="FFFFFF"/>
            <w:tcMar>
              <w:top w:w="50" w:type="dxa"/>
              <w:bottom w:w="50" w:type="dxa"/>
              <w:left w:w="50" w:type="dxa"/>
              <w:right w:w="50" w:type="dxa"/>
            </w:tcMar>
          </w:tcPr>
          <w:p>
            <w:pPr>
              <w:jc w:val="left"/>
            </w:pPr>
            <w:r>
              <w:rPr>
                <w:sz w:val="14"/>
              </w:rPr>
              <w:t>fig2_unlabelled.png</w:t>
            </w:r>
          </w:p>
        </w:tc>
        <w:tc>
          <w:tcPr>
            <w:tcW w:type="dxa" w:w="576"/>
            <w:shd w:fill="FFFFFF"/>
            <w:tcMar>
              <w:top w:w="50" w:type="dxa"/>
              <w:bottom w:w="50" w:type="dxa"/>
              <w:left w:w="50" w:type="dxa"/>
              <w:right w:w="50" w:type="dxa"/>
            </w:tcMar>
          </w:tcPr>
          <w:p>
            <w:pPr>
              <w:jc w:val="center"/>
            </w:pPr>
            <w:r>
              <w:rPr>
                <w:sz w:val="14"/>
              </w:rPr>
              <w:t>★</w:t>
            </w:r>
          </w:p>
        </w:tc>
      </w:tr>
      <w:tr>
        <w:tc>
          <w:tcPr>
            <w:tcW w:type="dxa" w:w="720"/>
            <w:shd w:fill="F8FAFC"/>
            <w:tcMar>
              <w:top w:w="50" w:type="dxa"/>
              <w:bottom w:w="50" w:type="dxa"/>
              <w:left w:w="50" w:type="dxa"/>
              <w:right w:w="50" w:type="dxa"/>
            </w:tcMar>
          </w:tcPr>
          <w:p>
            <w:pPr>
              <w:jc w:val="center"/>
            </w:pPr>
            <w:r>
              <w:rPr>
                <w:sz w:val="14"/>
              </w:rPr>
              <w:t>3</w:t>
            </w:r>
          </w:p>
        </w:tc>
        <w:tc>
          <w:tcPr>
            <w:tcW w:type="dxa" w:w="3168"/>
            <w:shd w:fill="F8FAFC"/>
            <w:tcMar>
              <w:top w:w="50" w:type="dxa"/>
              <w:bottom w:w="50" w:type="dxa"/>
              <w:left w:w="50" w:type="dxa"/>
              <w:right w:w="50" w:type="dxa"/>
            </w:tcMar>
          </w:tcPr>
          <w:p>
            <w:pPr>
              <w:jc w:val="left"/>
            </w:pPr>
            <w:r>
              <w:rPr>
                <w:sz w:val="14"/>
              </w:rPr>
              <w:t>Figure 3: Power distribution diagram</w:t>
            </w:r>
          </w:p>
        </w:tc>
        <w:tc>
          <w:tcPr>
            <w:tcW w:type="dxa" w:w="1872"/>
            <w:shd w:fill="F8FAFC"/>
            <w:tcMar>
              <w:top w:w="50" w:type="dxa"/>
              <w:bottom w:w="50" w:type="dxa"/>
              <w:left w:w="50" w:type="dxa"/>
              <w:right w:w="50" w:type="dxa"/>
            </w:tcMar>
          </w:tcPr>
          <w:p>
            <w:pPr>
              <w:jc w:val="left"/>
            </w:pPr>
            <w:r>
              <w:rPr>
                <w:sz w:val="14"/>
              </w:rPr>
              <w:t>Schematic</w:t>
            </w:r>
          </w:p>
        </w:tc>
        <w:tc>
          <w:tcPr>
            <w:tcW w:type="dxa" w:w="1728"/>
            <w:shd w:fill="F8FAFC"/>
            <w:tcMar>
              <w:top w:w="50" w:type="dxa"/>
              <w:bottom w:w="50" w:type="dxa"/>
              <w:left w:w="50" w:type="dxa"/>
              <w:right w:w="50" w:type="dxa"/>
            </w:tcMar>
          </w:tcPr>
          <w:p>
            <w:pPr>
              <w:jc w:val="left"/>
            </w:pPr>
            <w:r>
              <w:rPr>
                <w:sz w:val="14"/>
              </w:rPr>
              <w:t>fig3_labelled.png</w:t>
            </w:r>
          </w:p>
        </w:tc>
        <w:tc>
          <w:tcPr>
            <w:tcW w:type="dxa" w:w="1728"/>
            <w:shd w:fill="F8FAFC"/>
            <w:tcMar>
              <w:top w:w="50" w:type="dxa"/>
              <w:bottom w:w="50" w:type="dxa"/>
              <w:left w:w="50" w:type="dxa"/>
              <w:right w:w="50" w:type="dxa"/>
            </w:tcMar>
          </w:tcPr>
          <w:p>
            <w:pPr>
              <w:jc w:val="left"/>
            </w:pPr>
            <w:r>
              <w:rPr>
                <w:sz w:val="14"/>
              </w:rPr>
              <w:t>fig3_unlabelled.png</w:t>
            </w:r>
          </w:p>
        </w:tc>
        <w:tc>
          <w:tcPr>
            <w:tcW w:type="dxa" w:w="576"/>
            <w:shd w:fill="F8FAFC"/>
            <w:tcMar>
              <w:top w:w="50" w:type="dxa"/>
              <w:bottom w:w="50" w:type="dxa"/>
              <w:left w:w="50" w:type="dxa"/>
              <w:right w:w="50" w:type="dxa"/>
            </w:tcMar>
          </w:tcPr>
          <w:p>
            <w:pPr>
              <w:jc w:val="center"/>
            </w:pPr>
            <w:r>
              <w:rPr>
                <w:sz w:val="14"/>
              </w:rPr>
            </w:r>
          </w:p>
        </w:tc>
      </w:tr>
      <w:tr>
        <w:tc>
          <w:tcPr>
            <w:tcW w:type="dxa" w:w="720"/>
            <w:shd w:fill="FFFFFF"/>
            <w:tcMar>
              <w:top w:w="50" w:type="dxa"/>
              <w:bottom w:w="50" w:type="dxa"/>
              <w:left w:w="50" w:type="dxa"/>
              <w:right w:w="50" w:type="dxa"/>
            </w:tcMar>
          </w:tcPr>
          <w:p>
            <w:pPr>
              <w:jc w:val="center"/>
            </w:pPr>
            <w:r>
              <w:rPr>
                <w:sz w:val="14"/>
              </w:rPr>
              <w:t>4</w:t>
            </w:r>
          </w:p>
        </w:tc>
        <w:tc>
          <w:tcPr>
            <w:tcW w:type="dxa" w:w="3168"/>
            <w:shd w:fill="FFFFFF"/>
            <w:tcMar>
              <w:top w:w="50" w:type="dxa"/>
              <w:bottom w:w="50" w:type="dxa"/>
              <w:left w:w="50" w:type="dxa"/>
              <w:right w:w="50" w:type="dxa"/>
            </w:tcMar>
          </w:tcPr>
          <w:p>
            <w:pPr>
              <w:jc w:val="left"/>
            </w:pPr>
            <w:r>
              <w:rPr>
                <w:sz w:val="14"/>
              </w:rPr>
              <w:t>Figure 4: Layered system architecture (L1 to L7)</w:t>
            </w:r>
          </w:p>
        </w:tc>
        <w:tc>
          <w:tcPr>
            <w:tcW w:type="dxa" w:w="1872"/>
            <w:shd w:fill="FFFFFF"/>
            <w:tcMar>
              <w:top w:w="50" w:type="dxa"/>
              <w:bottom w:w="50" w:type="dxa"/>
              <w:left w:w="50" w:type="dxa"/>
              <w:right w:w="50" w:type="dxa"/>
            </w:tcMar>
          </w:tcPr>
          <w:p>
            <w:pPr>
              <w:jc w:val="left"/>
            </w:pPr>
            <w:r>
              <w:rPr>
                <w:sz w:val="14"/>
              </w:rPr>
              <w:t>Architecture diagram</w:t>
            </w:r>
          </w:p>
        </w:tc>
        <w:tc>
          <w:tcPr>
            <w:tcW w:type="dxa" w:w="1728"/>
            <w:shd w:fill="FFFFFF"/>
            <w:tcMar>
              <w:top w:w="50" w:type="dxa"/>
              <w:bottom w:w="50" w:type="dxa"/>
              <w:left w:w="50" w:type="dxa"/>
              <w:right w:w="50" w:type="dxa"/>
            </w:tcMar>
          </w:tcPr>
          <w:p>
            <w:pPr>
              <w:jc w:val="left"/>
            </w:pPr>
            <w:r>
              <w:rPr>
                <w:sz w:val="14"/>
              </w:rPr>
              <w:t>fig4_labelled.png</w:t>
            </w:r>
          </w:p>
        </w:tc>
        <w:tc>
          <w:tcPr>
            <w:tcW w:type="dxa" w:w="1728"/>
            <w:shd w:fill="FFFFFF"/>
            <w:tcMar>
              <w:top w:w="50" w:type="dxa"/>
              <w:bottom w:w="50" w:type="dxa"/>
              <w:left w:w="50" w:type="dxa"/>
              <w:right w:w="50" w:type="dxa"/>
            </w:tcMar>
          </w:tcPr>
          <w:p>
            <w:pPr>
              <w:jc w:val="left"/>
            </w:pPr>
            <w:r>
              <w:rPr>
                <w:sz w:val="14"/>
              </w:rPr>
              <w:t>fig4_unlabelled.png</w:t>
            </w:r>
          </w:p>
        </w:tc>
        <w:tc>
          <w:tcPr>
            <w:tcW w:type="dxa" w:w="576"/>
            <w:shd w:fill="FFFFFF"/>
            <w:tcMar>
              <w:top w:w="50" w:type="dxa"/>
              <w:bottom w:w="50" w:type="dxa"/>
              <w:left w:w="50" w:type="dxa"/>
              <w:right w:w="50" w:type="dxa"/>
            </w:tcMar>
          </w:tcPr>
          <w:p>
            <w:pPr>
              <w:jc w:val="center"/>
            </w:pPr>
            <w:r>
              <w:rPr>
                <w:sz w:val="14"/>
              </w:rPr>
              <w:t>★</w:t>
            </w:r>
          </w:p>
        </w:tc>
      </w:tr>
      <w:tr>
        <w:tc>
          <w:tcPr>
            <w:tcW w:type="dxa" w:w="720"/>
            <w:shd w:fill="F8FAFC"/>
            <w:tcMar>
              <w:top w:w="50" w:type="dxa"/>
              <w:bottom w:w="50" w:type="dxa"/>
              <w:left w:w="50" w:type="dxa"/>
              <w:right w:w="50" w:type="dxa"/>
            </w:tcMar>
          </w:tcPr>
          <w:p>
            <w:pPr>
              <w:jc w:val="center"/>
            </w:pPr>
            <w:r>
              <w:rPr>
                <w:sz w:val="14"/>
              </w:rPr>
              <w:t>5</w:t>
            </w:r>
          </w:p>
        </w:tc>
        <w:tc>
          <w:tcPr>
            <w:tcW w:type="dxa" w:w="3168"/>
            <w:shd w:fill="F8FAFC"/>
            <w:tcMar>
              <w:top w:w="50" w:type="dxa"/>
              <w:bottom w:w="50" w:type="dxa"/>
              <w:left w:w="50" w:type="dxa"/>
              <w:right w:w="50" w:type="dxa"/>
            </w:tcMar>
          </w:tcPr>
          <w:p>
            <w:pPr>
              <w:jc w:val="left"/>
            </w:pPr>
            <w:r>
              <w:rPr>
                <w:sz w:val="14"/>
              </w:rPr>
              <w:t>Figure 5: Firmware architecture and main-loop structure</w:t>
            </w:r>
          </w:p>
        </w:tc>
        <w:tc>
          <w:tcPr>
            <w:tcW w:type="dxa" w:w="1872"/>
            <w:shd w:fill="F8FAFC"/>
            <w:tcMar>
              <w:top w:w="50" w:type="dxa"/>
              <w:bottom w:w="50" w:type="dxa"/>
              <w:left w:w="50" w:type="dxa"/>
              <w:right w:w="50" w:type="dxa"/>
            </w:tcMar>
          </w:tcPr>
          <w:p>
            <w:pPr>
              <w:jc w:val="left"/>
            </w:pPr>
            <w:r>
              <w:rPr>
                <w:sz w:val="14"/>
              </w:rPr>
              <w:t>Flowchart</w:t>
            </w:r>
          </w:p>
        </w:tc>
        <w:tc>
          <w:tcPr>
            <w:tcW w:type="dxa" w:w="1728"/>
            <w:shd w:fill="F8FAFC"/>
            <w:tcMar>
              <w:top w:w="50" w:type="dxa"/>
              <w:bottom w:w="50" w:type="dxa"/>
              <w:left w:w="50" w:type="dxa"/>
              <w:right w:w="50" w:type="dxa"/>
            </w:tcMar>
          </w:tcPr>
          <w:p>
            <w:pPr>
              <w:jc w:val="left"/>
            </w:pPr>
            <w:r>
              <w:rPr>
                <w:sz w:val="14"/>
              </w:rPr>
              <w:t>fig5_labelled.png</w:t>
            </w:r>
          </w:p>
        </w:tc>
        <w:tc>
          <w:tcPr>
            <w:tcW w:type="dxa" w:w="1728"/>
            <w:shd w:fill="F8FAFC"/>
            <w:tcMar>
              <w:top w:w="50" w:type="dxa"/>
              <w:bottom w:w="50" w:type="dxa"/>
              <w:left w:w="50" w:type="dxa"/>
              <w:right w:w="50" w:type="dxa"/>
            </w:tcMar>
          </w:tcPr>
          <w:p>
            <w:pPr>
              <w:jc w:val="left"/>
            </w:pPr>
            <w:r>
              <w:rPr>
                <w:sz w:val="14"/>
              </w:rPr>
              <w:t>fig5_unlabelled.png</w:t>
            </w:r>
          </w:p>
        </w:tc>
        <w:tc>
          <w:tcPr>
            <w:tcW w:type="dxa" w:w="576"/>
            <w:shd w:fill="F8FAFC"/>
            <w:tcMar>
              <w:top w:w="50" w:type="dxa"/>
              <w:bottom w:w="50" w:type="dxa"/>
              <w:left w:w="50" w:type="dxa"/>
              <w:right w:w="50" w:type="dxa"/>
            </w:tcMar>
          </w:tcPr>
          <w:p>
            <w:pPr>
              <w:jc w:val="center"/>
            </w:pPr>
            <w:r>
              <w:rPr>
                <w:sz w:val="14"/>
              </w:rPr>
            </w:r>
          </w:p>
        </w:tc>
      </w:tr>
      <w:tr>
        <w:tc>
          <w:tcPr>
            <w:tcW w:type="dxa" w:w="720"/>
            <w:shd w:fill="FFFFFF"/>
            <w:tcMar>
              <w:top w:w="50" w:type="dxa"/>
              <w:bottom w:w="50" w:type="dxa"/>
              <w:left w:w="50" w:type="dxa"/>
              <w:right w:w="50" w:type="dxa"/>
            </w:tcMar>
          </w:tcPr>
          <w:p>
            <w:pPr>
              <w:jc w:val="center"/>
            </w:pPr>
            <w:r>
              <w:rPr>
                <w:sz w:val="14"/>
              </w:rPr>
              <w:t>6</w:t>
            </w:r>
          </w:p>
        </w:tc>
        <w:tc>
          <w:tcPr>
            <w:tcW w:type="dxa" w:w="3168"/>
            <w:shd w:fill="FFFFFF"/>
            <w:tcMar>
              <w:top w:w="50" w:type="dxa"/>
              <w:bottom w:w="50" w:type="dxa"/>
              <w:left w:w="50" w:type="dxa"/>
              <w:right w:w="50" w:type="dxa"/>
            </w:tcMar>
          </w:tcPr>
          <w:p>
            <w:pPr>
              <w:jc w:val="left"/>
            </w:pPr>
            <w:r>
              <w:rPr>
                <w:sz w:val="14"/>
              </w:rPr>
              <w:t>Figure 6: In-Silico Bateman Pharmacokinetic (PK/PD) Profile &amp; Catch-Up Advisor</w:t>
            </w:r>
          </w:p>
        </w:tc>
        <w:tc>
          <w:tcPr>
            <w:tcW w:type="dxa" w:w="1872"/>
            <w:shd w:fill="FFFFFF"/>
            <w:tcMar>
              <w:top w:w="50" w:type="dxa"/>
              <w:bottom w:w="50" w:type="dxa"/>
              <w:left w:w="50" w:type="dxa"/>
              <w:right w:w="50" w:type="dxa"/>
            </w:tcMar>
          </w:tcPr>
          <w:p>
            <w:pPr>
              <w:jc w:val="left"/>
            </w:pPr>
            <w:r>
              <w:rPr>
                <w:sz w:val="14"/>
              </w:rPr>
              <w:t>Graph</w:t>
            </w:r>
          </w:p>
        </w:tc>
        <w:tc>
          <w:tcPr>
            <w:tcW w:type="dxa" w:w="1728"/>
            <w:shd w:fill="FFFFFF"/>
            <w:tcMar>
              <w:top w:w="50" w:type="dxa"/>
              <w:bottom w:w="50" w:type="dxa"/>
              <w:left w:w="50" w:type="dxa"/>
              <w:right w:w="50" w:type="dxa"/>
            </w:tcMar>
          </w:tcPr>
          <w:p>
            <w:pPr>
              <w:jc w:val="left"/>
            </w:pPr>
            <w:r>
              <w:rPr>
                <w:sz w:val="14"/>
              </w:rPr>
              <w:t>fig6_labelled.png</w:t>
            </w:r>
          </w:p>
        </w:tc>
        <w:tc>
          <w:tcPr>
            <w:tcW w:type="dxa" w:w="1728"/>
            <w:shd w:fill="FFFFFF"/>
            <w:tcMar>
              <w:top w:w="50" w:type="dxa"/>
              <w:bottom w:w="50" w:type="dxa"/>
              <w:left w:w="50" w:type="dxa"/>
              <w:right w:w="50" w:type="dxa"/>
            </w:tcMar>
          </w:tcPr>
          <w:p>
            <w:pPr>
              <w:jc w:val="left"/>
            </w:pPr>
            <w:r>
              <w:rPr>
                <w:sz w:val="14"/>
              </w:rPr>
              <w:t>fig6_unlabelled.png</w:t>
            </w:r>
          </w:p>
        </w:tc>
        <w:tc>
          <w:tcPr>
            <w:tcW w:type="dxa" w:w="576"/>
            <w:shd w:fill="FFFFFF"/>
            <w:tcMar>
              <w:top w:w="50" w:type="dxa"/>
              <w:bottom w:w="50" w:type="dxa"/>
              <w:left w:w="50" w:type="dxa"/>
              <w:right w:w="50" w:type="dxa"/>
            </w:tcMar>
          </w:tcPr>
          <w:p>
            <w:pPr>
              <w:jc w:val="center"/>
            </w:pPr>
            <w:r>
              <w:rPr>
                <w:sz w:val="14"/>
              </w:rPr>
              <w:t>★</w:t>
            </w:r>
          </w:p>
        </w:tc>
      </w:tr>
      <w:tr>
        <w:tc>
          <w:tcPr>
            <w:tcW w:type="dxa" w:w="720"/>
            <w:shd w:fill="F8FAFC"/>
            <w:tcMar>
              <w:top w:w="50" w:type="dxa"/>
              <w:bottom w:w="50" w:type="dxa"/>
              <w:left w:w="50" w:type="dxa"/>
              <w:right w:w="50" w:type="dxa"/>
            </w:tcMar>
          </w:tcPr>
          <w:p>
            <w:pPr>
              <w:jc w:val="center"/>
            </w:pPr>
            <w:r>
              <w:rPr>
                <w:sz w:val="14"/>
              </w:rPr>
              <w:t>7</w:t>
            </w:r>
          </w:p>
        </w:tc>
        <w:tc>
          <w:tcPr>
            <w:tcW w:type="dxa" w:w="3168"/>
            <w:shd w:fill="F8FAFC"/>
            <w:tcMar>
              <w:top w:w="50" w:type="dxa"/>
              <w:bottom w:w="50" w:type="dxa"/>
              <w:left w:w="50" w:type="dxa"/>
              <w:right w:w="50" w:type="dxa"/>
            </w:tcMar>
          </w:tcPr>
          <w:p>
            <w:pPr>
              <w:jc w:val="left"/>
            </w:pPr>
            <w:r>
              <w:rPr>
                <w:sz w:val="14"/>
              </w:rPr>
              <w:t>Figure 7: ASAP-Arrhenius Chemical Potency Degradation vs. Storage Microclimate</w:t>
            </w:r>
          </w:p>
        </w:tc>
        <w:tc>
          <w:tcPr>
            <w:tcW w:type="dxa" w:w="1872"/>
            <w:shd w:fill="F8FAFC"/>
            <w:tcMar>
              <w:top w:w="50" w:type="dxa"/>
              <w:bottom w:w="50" w:type="dxa"/>
              <w:left w:w="50" w:type="dxa"/>
              <w:right w:w="50" w:type="dxa"/>
            </w:tcMar>
          </w:tcPr>
          <w:p>
            <w:pPr>
              <w:jc w:val="left"/>
            </w:pPr>
            <w:r>
              <w:rPr>
                <w:sz w:val="14"/>
              </w:rPr>
              <w:t>Graph</w:t>
            </w:r>
          </w:p>
        </w:tc>
        <w:tc>
          <w:tcPr>
            <w:tcW w:type="dxa" w:w="1728"/>
            <w:shd w:fill="F8FAFC"/>
            <w:tcMar>
              <w:top w:w="50" w:type="dxa"/>
              <w:bottom w:w="50" w:type="dxa"/>
              <w:left w:w="50" w:type="dxa"/>
              <w:right w:w="50" w:type="dxa"/>
            </w:tcMar>
          </w:tcPr>
          <w:p>
            <w:pPr>
              <w:jc w:val="left"/>
            </w:pPr>
            <w:r>
              <w:rPr>
                <w:sz w:val="14"/>
              </w:rPr>
              <w:t>fig7_labelled.png</w:t>
            </w:r>
          </w:p>
        </w:tc>
        <w:tc>
          <w:tcPr>
            <w:tcW w:type="dxa" w:w="1728"/>
            <w:shd w:fill="F8FAFC"/>
            <w:tcMar>
              <w:top w:w="50" w:type="dxa"/>
              <w:bottom w:w="50" w:type="dxa"/>
              <w:left w:w="50" w:type="dxa"/>
              <w:right w:w="50" w:type="dxa"/>
            </w:tcMar>
          </w:tcPr>
          <w:p>
            <w:pPr>
              <w:jc w:val="left"/>
            </w:pPr>
            <w:r>
              <w:rPr>
                <w:sz w:val="14"/>
              </w:rPr>
              <w:t>fig7_unlabelled.png</w:t>
            </w:r>
          </w:p>
        </w:tc>
        <w:tc>
          <w:tcPr>
            <w:tcW w:type="dxa" w:w="576"/>
            <w:shd w:fill="F8FAFC"/>
            <w:tcMar>
              <w:top w:w="50" w:type="dxa"/>
              <w:bottom w:w="50" w:type="dxa"/>
              <w:left w:w="50" w:type="dxa"/>
              <w:right w:w="50" w:type="dxa"/>
            </w:tcMar>
          </w:tcPr>
          <w:p>
            <w:pPr>
              <w:jc w:val="center"/>
            </w:pPr>
            <w:r>
              <w:rPr>
                <w:sz w:val="14"/>
              </w:rPr>
            </w:r>
          </w:p>
        </w:tc>
      </w:tr>
      <w:tr>
        <w:tc>
          <w:tcPr>
            <w:tcW w:type="dxa" w:w="720"/>
            <w:shd w:fill="FFFFFF"/>
            <w:tcMar>
              <w:top w:w="50" w:type="dxa"/>
              <w:bottom w:w="50" w:type="dxa"/>
              <w:left w:w="50" w:type="dxa"/>
              <w:right w:w="50" w:type="dxa"/>
            </w:tcMar>
          </w:tcPr>
          <w:p>
            <w:pPr>
              <w:jc w:val="center"/>
            </w:pPr>
            <w:r>
              <w:rPr>
                <w:sz w:val="14"/>
              </w:rPr>
              <w:t>8</w:t>
            </w:r>
          </w:p>
        </w:tc>
        <w:tc>
          <w:tcPr>
            <w:tcW w:type="dxa" w:w="3168"/>
            <w:shd w:fill="FFFFFF"/>
            <w:tcMar>
              <w:top w:w="50" w:type="dxa"/>
              <w:bottom w:w="50" w:type="dxa"/>
              <w:left w:w="50" w:type="dxa"/>
              <w:right w:w="50" w:type="dxa"/>
            </w:tcMar>
          </w:tcPr>
          <w:p>
            <w:pPr>
              <w:jc w:val="left"/>
            </w:pPr>
            <w:r>
              <w:rPr>
                <w:sz w:val="14"/>
              </w:rPr>
              <w:t>Figure 8: Web Audio API FFT Epiglottic Transit Acoustic Ingestion Verification Spectrum</w:t>
            </w:r>
          </w:p>
        </w:tc>
        <w:tc>
          <w:tcPr>
            <w:tcW w:type="dxa" w:w="1872"/>
            <w:shd w:fill="FFFFFF"/>
            <w:tcMar>
              <w:top w:w="50" w:type="dxa"/>
              <w:bottom w:w="50" w:type="dxa"/>
              <w:left w:w="50" w:type="dxa"/>
              <w:right w:w="50" w:type="dxa"/>
            </w:tcMar>
          </w:tcPr>
          <w:p>
            <w:pPr>
              <w:jc w:val="left"/>
            </w:pPr>
            <w:r>
              <w:rPr>
                <w:sz w:val="14"/>
              </w:rPr>
              <w:t>Graph</w:t>
            </w:r>
          </w:p>
        </w:tc>
        <w:tc>
          <w:tcPr>
            <w:tcW w:type="dxa" w:w="1728"/>
            <w:shd w:fill="FFFFFF"/>
            <w:tcMar>
              <w:top w:w="50" w:type="dxa"/>
              <w:bottom w:w="50" w:type="dxa"/>
              <w:left w:w="50" w:type="dxa"/>
              <w:right w:w="50" w:type="dxa"/>
            </w:tcMar>
          </w:tcPr>
          <w:p>
            <w:pPr>
              <w:jc w:val="left"/>
            </w:pPr>
            <w:r>
              <w:rPr>
                <w:sz w:val="14"/>
              </w:rPr>
              <w:t>fig8_labelled.png</w:t>
            </w:r>
          </w:p>
        </w:tc>
        <w:tc>
          <w:tcPr>
            <w:tcW w:type="dxa" w:w="1728"/>
            <w:shd w:fill="FFFFFF"/>
            <w:tcMar>
              <w:top w:w="50" w:type="dxa"/>
              <w:bottom w:w="50" w:type="dxa"/>
              <w:left w:w="50" w:type="dxa"/>
              <w:right w:w="50" w:type="dxa"/>
            </w:tcMar>
          </w:tcPr>
          <w:p>
            <w:pPr>
              <w:jc w:val="left"/>
            </w:pPr>
            <w:r>
              <w:rPr>
                <w:sz w:val="14"/>
              </w:rPr>
              <w:t>fig8_unlabelled.png</w:t>
            </w:r>
          </w:p>
        </w:tc>
        <w:tc>
          <w:tcPr>
            <w:tcW w:type="dxa" w:w="576"/>
            <w:shd w:fill="FFFFFF"/>
            <w:tcMar>
              <w:top w:w="50" w:type="dxa"/>
              <w:bottom w:w="50" w:type="dxa"/>
              <w:left w:w="50" w:type="dxa"/>
              <w:right w:w="50" w:type="dxa"/>
            </w:tcMar>
          </w:tcPr>
          <w:p>
            <w:pPr>
              <w:jc w:val="center"/>
            </w:pPr>
            <w:r>
              <w:rPr>
                <w:sz w:val="14"/>
              </w:rPr>
            </w:r>
          </w:p>
        </w:tc>
      </w:tr>
      <w:tr>
        <w:tc>
          <w:tcPr>
            <w:tcW w:type="dxa" w:w="720"/>
            <w:shd w:fill="F8FAFC"/>
            <w:tcMar>
              <w:top w:w="50" w:type="dxa"/>
              <w:bottom w:w="50" w:type="dxa"/>
              <w:left w:w="50" w:type="dxa"/>
              <w:right w:w="50" w:type="dxa"/>
            </w:tcMar>
          </w:tcPr>
          <w:p>
            <w:pPr>
              <w:jc w:val="center"/>
            </w:pPr>
            <w:r>
              <w:rPr>
                <w:sz w:val="14"/>
              </w:rPr>
              <w:t>9</w:t>
            </w:r>
          </w:p>
        </w:tc>
        <w:tc>
          <w:tcPr>
            <w:tcW w:type="dxa" w:w="3168"/>
            <w:shd w:fill="F8FAFC"/>
            <w:tcMar>
              <w:top w:w="50" w:type="dxa"/>
              <w:bottom w:w="50" w:type="dxa"/>
              <w:left w:w="50" w:type="dxa"/>
              <w:right w:w="50" w:type="dxa"/>
            </w:tcMar>
          </w:tcPr>
          <w:p>
            <w:pPr>
              <w:jc w:val="left"/>
            </w:pPr>
            <w:r>
              <w:rPr>
                <w:sz w:val="14"/>
              </w:rPr>
              <w:t>Figure 9: Dual-Mode Air-Gapped Optical Data Transmission (Phone QR &amp; Fountain Stream)</w:t>
            </w:r>
          </w:p>
        </w:tc>
        <w:tc>
          <w:tcPr>
            <w:tcW w:type="dxa" w:w="1872"/>
            <w:shd w:fill="F8FAFC"/>
            <w:tcMar>
              <w:top w:w="50" w:type="dxa"/>
              <w:bottom w:w="50" w:type="dxa"/>
              <w:left w:w="50" w:type="dxa"/>
              <w:right w:w="50" w:type="dxa"/>
            </w:tcMar>
          </w:tcPr>
          <w:p>
            <w:pPr>
              <w:jc w:val="left"/>
            </w:pPr>
            <w:r>
              <w:rPr>
                <w:sz w:val="14"/>
              </w:rPr>
              <w:t>Schematic / diagram</w:t>
            </w:r>
          </w:p>
        </w:tc>
        <w:tc>
          <w:tcPr>
            <w:tcW w:type="dxa" w:w="1728"/>
            <w:shd w:fill="F8FAFC"/>
            <w:tcMar>
              <w:top w:w="50" w:type="dxa"/>
              <w:bottom w:w="50" w:type="dxa"/>
              <w:left w:w="50" w:type="dxa"/>
              <w:right w:w="50" w:type="dxa"/>
            </w:tcMar>
          </w:tcPr>
          <w:p>
            <w:pPr>
              <w:jc w:val="left"/>
            </w:pPr>
            <w:r>
              <w:rPr>
                <w:sz w:val="14"/>
              </w:rPr>
              <w:t>fig9_labelled.png</w:t>
            </w:r>
          </w:p>
        </w:tc>
        <w:tc>
          <w:tcPr>
            <w:tcW w:type="dxa" w:w="1728"/>
            <w:shd w:fill="F8FAFC"/>
            <w:tcMar>
              <w:top w:w="50" w:type="dxa"/>
              <w:bottom w:w="50" w:type="dxa"/>
              <w:left w:w="50" w:type="dxa"/>
              <w:right w:w="50" w:type="dxa"/>
            </w:tcMar>
          </w:tcPr>
          <w:p>
            <w:pPr>
              <w:jc w:val="left"/>
            </w:pPr>
            <w:r>
              <w:rPr>
                <w:sz w:val="14"/>
              </w:rPr>
              <w:t>fig9_unlabelled.png</w:t>
            </w:r>
          </w:p>
        </w:tc>
        <w:tc>
          <w:tcPr>
            <w:tcW w:type="dxa" w:w="576"/>
            <w:shd w:fill="F8FAFC"/>
            <w:tcMar>
              <w:top w:w="50" w:type="dxa"/>
              <w:bottom w:w="50" w:type="dxa"/>
              <w:left w:w="50" w:type="dxa"/>
              <w:right w:w="50" w:type="dxa"/>
            </w:tcMar>
          </w:tcPr>
          <w:p>
            <w:pPr>
              <w:jc w:val="center"/>
            </w:pPr>
            <w:r>
              <w:rPr>
                <w:sz w:val="14"/>
              </w:rPr>
            </w:r>
          </w:p>
        </w:tc>
      </w:tr>
    </w:tbl>
    <w:p>
      <w:pPr>
        <w:spacing w:after="160"/>
      </w:pPr>
    </w:p>
    <w:p>
      <w:pPr>
        <w:spacing w:line="276" w:lineRule="auto" w:after="80"/>
        <w:jc w:val="both"/>
      </w:pPr>
      <w:r>
        <w:rPr>
          <w:b/>
          <w:color w:val="0F172A"/>
        </w:rPr>
        <w:t>7.1 Figure explanations — in your own words, explain what each figure shows and what each labelled part is.</w:t>
      </w:r>
    </w:p>
    <w:p>
      <w:pPr>
        <w:spacing w:line="276" w:lineRule="auto" w:after="120"/>
        <w:jc w:val="both"/>
      </w:pPr>
      <w:r>
        <w:rPr>
          <w:b/>
          <w:color w:val="0F172A"/>
        </w:rPr>
        <w:t>• Figure 1 (★): Overall system block diagram:</w:t>
        <w:br/>
      </w:r>
      <w:r>
        <w:rPr>
          <w:color w:val="1E293B"/>
        </w:rPr>
        <w:t>This figure shows the overall hardware and communication architecture. On the left (Inputs/Sensing dashed blue box), the system interfaces with an RC522 RFID reader over SPI for patient card authentication, a tactile CONFIRM push button on GPIO for manual intake acknowledgment, a battery-backed DS1307 RTC over I2C for autonomous timekeeping, and a DHT22 sensor over a 1-wire bus for microclimate temperature and humidity tracking. The central ESP32-WROOM-32 microcontroller operates the dose scheduler, dose state machine, RFID authenticator, event logger, local HTTP web server, REST API, embedded MediShield webapp, and LittleFS storage, powered by a 5V supply. On the right (Outputs/Actuation dashed orange box), the ESP32 commands an active buzzer reminder and an SG90 servo lid latch to open or lock the pill compartment. It communicates bidirectionally via local Wi-Fi HTTP/JSON with a smartphone browser, with optional NTP synchronization.</w:t>
      </w:r>
    </w:p>
    <w:p>
      <w:pPr>
        <w:spacing w:line="276" w:lineRule="auto" w:after="120"/>
        <w:jc w:val="both"/>
      </w:pPr>
      <w:r>
        <w:rPr>
          <w:b/>
          <w:color w:val="0F172A"/>
        </w:rPr>
        <w:t>• Figure 2 (★): Circuit / wiring diagram — MediShield smart pill box:</w:t>
        <w:br/>
      </w:r>
      <w:r>
        <w:rPr>
          <w:color w:val="1E293B"/>
        </w:rPr>
        <w:t>This diagram specifies the exact electrical wiring between the ESP32 DevKit V1 30-pin board and all peripheral components. I2C lines (purple) connect GPIO 22 (SCL) and GPIO 21 (SDA) to the DS1307 RTC module powered from the 5V rail. SPI lines (blue) connect GPIO 23 (MOSI), GPIO 19 (MISO), GPIO 18 (SCK), GPIO 5 (SS), and GPIO 15 (RST) to the RC522 RFID reader powered strictly from 3.3V. The single-wire data line (teal) connects GPIO 4 to the DHT22 AM2302 sensor with a 10 kΩ pull-up resistor to 3.3V. Digital output GPIO 27 (olive green) drives the active buzzer (+) while (-) connects to ground. GPIO 12 connects to leg 1 of the CONFIRM push button while leg 2 connects to ground with internal pull-up (noting the boot-strapping pin constraint: do not hold CONFIRM during power-on). GPIO 13 outputs PWM (orange) to the SG90 servo signal wire, with red to external 5V and brown to ground. Red lines trace the 5V and 3.3V power rails, and black lines show common ground.</w:t>
      </w:r>
    </w:p>
    <w:p>
      <w:pPr>
        <w:spacing w:line="276" w:lineRule="auto" w:after="120"/>
        <w:jc w:val="both"/>
      </w:pPr>
      <w:r>
        <w:rPr>
          <w:b/>
          <w:color w:val="0F172A"/>
        </w:rPr>
        <w:t>• Figure 3: Power distribution diagram:</w:t>
        <w:br/>
      </w:r>
      <w:r>
        <w:rPr>
          <w:color w:val="1E293B"/>
        </w:rPr>
        <w:t>This diagram details the clean, decoupled power distribution network that prevents microcontroller brownouts during motor actuation. A 5V DC supply (USB adapter or power bank &gt;= 2A) feeds the primary 5V rail. This rail branches directly to: (1) the DS1307 RTC (4.5-5.5V), backed by a CR2032 coin cell; (2) the SG90 micro-servo motor via a dedicated separate 5V branch to isolate inductive switching noise; and (3) the ESP32 DevKit VIN pin. The ESP32's onboard low-dropout linear regulator steps 5V down to 3.3V, establishing the secondary 3.3V rail. This 3.3V rail powers the RC522 RFID reader (which is strictly 3.3V only and will be destroyed by 5V) and the DHT22 climate sensor. GPIO 27 directly feeds the buzzer, and GPIO 12 connects to the CONFIRM button. All modules share a unified common ground.</w:t>
      </w:r>
    </w:p>
    <w:p>
      <w:pPr>
        <w:spacing w:line="276" w:lineRule="auto" w:after="120"/>
        <w:jc w:val="both"/>
      </w:pPr>
      <w:r>
        <w:rPr>
          <w:b/>
          <w:color w:val="0F172A"/>
        </w:rPr>
        <w:t>• Figure 4: Layered system architecture (L1 to L7):</w:t>
        <w:br/>
      </w:r>
      <w:r>
        <w:rPr>
          <w:color w:val="1E293B"/>
        </w:rPr>
        <w:t>This architectural diagram maps the functional separation across seven modular abstraction layers: L1 Physical Layer (pill compartment, hinged lid, 3D enclosure, 5V power supply); L2 Sensing &amp; Input Layer (RC522 RFID + card, CONFIRM button, DHT22, DS1307 RTC); L3 Actuation &amp; Alert Layer (SG90 servo lid latch, active buzzer); L4 Control Layer in Firmware (dose scheduler, dose state machine, RFID authentication engine, timeout supervisor, event logger); L5 Data Layer (LittleFS `/meds.json` schedule, LittleFS `/logs.jsonl` audit trail, NVS log counter, embedded app `webapp.h`); L6 Communication Layer (Wi-Fi station/AP, HTTP web server, REST API `/api/...`, mDNS `pillbox.local`, NTP client); and L7 Application Layer in Phone Browser (patient dashboard, pill schedules, live box panel, dose history, doctor portal).</w:t>
      </w:r>
    </w:p>
    <w:p>
      <w:pPr>
        <w:spacing w:line="276" w:lineRule="auto" w:after="120"/>
        <w:jc w:val="both"/>
      </w:pPr>
      <w:r>
        <w:rPr>
          <w:b/>
          <w:color w:val="0F172A"/>
        </w:rPr>
        <w:t>• Figure 5: Firmware architecture and main-loop structure:</w:t>
        <w:br/>
      </w:r>
      <w:r>
        <w:rPr>
          <w:color w:val="1E293B"/>
        </w:rPr>
        <w:t>This flowchart details the execution lifecycle of the ESP32 C++ firmware. The left box outlines `setup()`, executed once at boot: Serial and GPIO initialization (buzzer OUT, CONFIRM IN_PULLUP), I2C and DS1307 RTC initialization, DHT22 begin, SPI and RC522 RFID initialization, servo attachment and locking to 0°, LittleFS mounting and NVS counter read, schedule loading from `/meds.json`, Wi-Fi initialization (hotspot or Station mode with mDNS and NTP), and HTTP REST server launch. The right box outlines `loop()`, repeating continuously every ~5 ms: handling incoming client HTTP requests, checking the RTC against the medication schedule, evaluating if the state is DUE or OPEN. If DUE/OPEN: polling RFID for patient authentication, checking the CONFIRM button, managing alarm timeouts, updating buzzer tone, and calling the LittleFS event logger upon successful dispense. If not DUE: reading DHT22 temperature every 5 seconds, managing Wi-Fi reconnects, and looping seamlessly.</w:t>
      </w:r>
    </w:p>
    <w:p>
      <w:pPr>
        <w:spacing w:line="276" w:lineRule="auto" w:after="120"/>
        <w:jc w:val="both"/>
      </w:pPr>
      <w:r>
        <w:rPr>
          <w:b/>
          <w:color w:val="0F172A"/>
        </w:rPr>
        <w:t>• Figure 6 (★): In-Silico Bateman Pharmacokinetic (PK/PD) Profile &amp; Catch-Up Advisor:</w:t>
        <w:br/>
      </w:r>
      <w:r>
        <w:rPr>
          <w:color w:val="1E293B"/>
        </w:rPr>
        <w:t>This graph shows simulated drug plasma concentration C(t) in ng/mL over 36 hours. The shaded green region defines the therapeutic window bounded by Minimum Effective Concentration (MEC = 12 ng/mL) and Maximum Tolerated Concentration (MTC = 45 ng/mL). The solid blue curve illustrates normal adherent dosing (500mg q12h). The dotted grey curve depicts a missed dose at 12 hours, showing plasma plummeting into the ineffective sub-therapeutic zone. The purple curve illustrates MediShield's Catch-Up Advisor: when a 4-hour delay occurs, it calculates a compensated micro-bolus that smoothly restores plasma levels into the therapeutic window without spiking above MTC.</w:t>
      </w:r>
    </w:p>
    <w:p>
      <w:pPr>
        <w:spacing w:line="276" w:lineRule="auto" w:after="120"/>
        <w:jc w:val="both"/>
      </w:pPr>
      <w:r>
        <w:rPr>
          <w:b/>
          <w:color w:val="0F172A"/>
        </w:rPr>
        <w:t>• Figure 7: ASAP-Arrhenius Chemical Potency Degradation vs. Storage Microclimate Curves:</w:t>
        <w:br/>
      </w:r>
      <w:r>
        <w:rPr>
          <w:color w:val="1E293B"/>
        </w:rPr>
        <w:t>This graph plots active pharmaceutical ingredient (API) potency (%) over 180 days of storage. The red dashed line marks the 90.0% USP pharmacopeial minimum limit. The solid green curve shows the stable microclimate inside MediShield (21.5°C, 45% RH) maintaining &gt;97.8% potency. The blue dash-dot curve shows nominal room storage (25°C, 60% RH). The solid red curve reveals a high-heat/humidity bathroom excursion (38°C, 82% RH), where accelerated hydrolytic degradation causes potency to plunge below the 90% legal safety limit in just 42 days, proving the life-saving necessity of MediShield's real-time degradation twin.</w:t>
      </w:r>
    </w:p>
    <w:p>
      <w:pPr>
        <w:spacing w:line="276" w:lineRule="auto" w:after="120"/>
        <w:jc w:val="both"/>
      </w:pPr>
      <w:r>
        <w:rPr>
          <w:b/>
          <w:color w:val="0F172A"/>
        </w:rPr>
        <w:t>• Figure 8: Web Audio API FFT Epiglottic Transit Acoustic Spectrum vs. Speech &amp; Noise:</w:t>
        <w:br/>
      </w:r>
      <w:r>
        <w:rPr>
          <w:color w:val="1E293B"/>
        </w:rPr>
        <w:t>This graph displays the frequency spectrum (50 Hz to 4000 Hz) analyzed by the browser Web Audio API FFT during medication intake. The shaded cyan band highlights the validated physiological epiglottic transit resonance window (800 Hz to 2000 Hz). The solid blue curve depicts a true swallowing sound with a distinct 24.6 dB resonance peak at 1240 Hz. The dashed grey curve shows spoken vocal speech, which concentrates power below 400 Hz (pitch fundamental). The dotted curve shows ambient room baseline noise. This clear spectral separation enables MediShield to confirm swallowing with zero wearable hardware.</w:t>
      </w:r>
    </w:p>
    <w:p>
      <w:pPr>
        <w:spacing w:line="276" w:lineRule="auto" w:after="120"/>
        <w:jc w:val="both"/>
      </w:pPr>
      <w:r>
        <w:rPr>
          <w:b/>
          <w:color w:val="0F172A"/>
        </w:rPr>
        <w:t>• Figure 9: Dual-Mode Air-Gapped Optical Data Transmission Interface:</w:t>
        <w:br/>
      </w:r>
      <w:r>
        <w:rPr>
          <w:color w:val="1E293B"/>
        </w:rPr>
        <w:t>This diagram illustrates MediShield's dual optical communication modes. Mode A (Left) renders a crisp standard ISO/IEC 18004 QR code matrix containing the patient's verified compliance certificate, readable in 0.2 seconds by any smartphone camera (Google Lens, iPhone Camera). Mode B (Right) shows the moving Luby Transform (LT) rateless fountain video stream cycling at 2.5 FPS, where droplet packets S_1, S_2, ... S_K stream 300+ LittleFS logs to clinical auditor cameras in air-gapped hospital environments without Wi-Fi, Bluetooth, or cables.</w:t>
      </w:r>
    </w:p>
    <w:p>
      <w:r>
        <w:br w:type="page"/>
      </w:r>
    </w:p>
    <w:p>
      <w:pPr>
        <w:pStyle w:val="Heading1"/>
      </w:pPr>
      <w:r>
        <w:rPr>
          <w:color w:val="0284C7"/>
        </w:rPr>
        <w:t>Appendix: Technical Figures (Labelled &amp; Clean Unlabelled)</w:t>
      </w:r>
    </w:p>
    <w:p>
      <w:pPr>
        <w:jc w:val="center"/>
      </w:pPr>
      <w:r>
        <w:rPr>
          <w:b/>
          <w:sz w:val="20"/>
        </w:rPr>
        <w:br/>
        <w:t>Figure 1 (★): Overall system block diagram</w:t>
        <w:br/>
      </w:r>
    </w:p>
    <w:p>
      <w:r>
        <w:drawing>
          <wp:inline xmlns:a="http://schemas.openxmlformats.org/drawingml/2006/main" xmlns:pic="http://schemas.openxmlformats.org/drawingml/2006/picture">
            <wp:extent cx="5669280" cy="2258854"/>
            <wp:docPr id="1" name="Picture 1"/>
            <wp:cNvGraphicFramePr>
              <a:graphicFrameLocks noChangeAspect="1"/>
            </wp:cNvGraphicFramePr>
            <a:graphic>
              <a:graphicData uri="http://schemas.openxmlformats.org/drawingml/2006/picture">
                <pic:pic>
                  <pic:nvPicPr>
                    <pic:cNvPr id="0" name="fig1_labelled.png"/>
                    <pic:cNvPicPr/>
                  </pic:nvPicPr>
                  <pic:blipFill>
                    <a:blip r:embed="rId9"/>
                    <a:stretch>
                      <a:fillRect/>
                    </a:stretch>
                  </pic:blipFill>
                  <pic:spPr>
                    <a:xfrm>
                      <a:off x="0" y="0"/>
                      <a:ext cx="5669280" cy="2258854"/>
                    </a:xfrm>
                    <a:prstGeom prst="rect"/>
                  </pic:spPr>
                </pic:pic>
              </a:graphicData>
            </a:graphic>
          </wp:inline>
        </w:drawing>
      </w:r>
    </w:p>
    <w:p>
      <w:pPr>
        <w:spacing w:after="280"/>
      </w:pPr>
    </w:p>
    <w:p>
      <w:pPr>
        <w:jc w:val="center"/>
      </w:pPr>
      <w:r>
        <w:rPr>
          <w:b/>
          <w:sz w:val="20"/>
        </w:rPr>
        <w:br/>
        <w:t>Figure 2 (★): Circuit / wiring diagram — MediShield smart pill box</w:t>
        <w:br/>
      </w:r>
    </w:p>
    <w:p>
      <w:r>
        <w:drawing>
          <wp:inline xmlns:a="http://schemas.openxmlformats.org/drawingml/2006/main" xmlns:pic="http://schemas.openxmlformats.org/drawingml/2006/picture">
            <wp:extent cx="5669280" cy="4678263"/>
            <wp:docPr id="2" name="Picture 2"/>
            <wp:cNvGraphicFramePr>
              <a:graphicFrameLocks noChangeAspect="1"/>
            </wp:cNvGraphicFramePr>
            <a:graphic>
              <a:graphicData uri="http://schemas.openxmlformats.org/drawingml/2006/picture">
                <pic:pic>
                  <pic:nvPicPr>
                    <pic:cNvPr id="0" name="fig2_labelled.png"/>
                    <pic:cNvPicPr/>
                  </pic:nvPicPr>
                  <pic:blipFill>
                    <a:blip r:embed="rId10"/>
                    <a:stretch>
                      <a:fillRect/>
                    </a:stretch>
                  </pic:blipFill>
                  <pic:spPr>
                    <a:xfrm>
                      <a:off x="0" y="0"/>
                      <a:ext cx="5669280" cy="4678263"/>
                    </a:xfrm>
                    <a:prstGeom prst="rect"/>
                  </pic:spPr>
                </pic:pic>
              </a:graphicData>
            </a:graphic>
          </wp:inline>
        </w:drawing>
      </w:r>
    </w:p>
    <w:p>
      <w:pPr>
        <w:spacing w:after="280"/>
      </w:pPr>
    </w:p>
    <w:p>
      <w:pPr>
        <w:jc w:val="center"/>
      </w:pPr>
      <w:r>
        <w:rPr>
          <w:b/>
          <w:sz w:val="20"/>
        </w:rPr>
        <w:br/>
        <w:t>Figure 3: Power distribution diagram</w:t>
        <w:br/>
      </w:r>
    </w:p>
    <w:p>
      <w:r>
        <w:drawing>
          <wp:inline xmlns:a="http://schemas.openxmlformats.org/drawingml/2006/main" xmlns:pic="http://schemas.openxmlformats.org/drawingml/2006/picture">
            <wp:extent cx="5669280" cy="5381387"/>
            <wp:docPr id="3" name="Picture 3"/>
            <wp:cNvGraphicFramePr>
              <a:graphicFrameLocks noChangeAspect="1"/>
            </wp:cNvGraphicFramePr>
            <a:graphic>
              <a:graphicData uri="http://schemas.openxmlformats.org/drawingml/2006/picture">
                <pic:pic>
                  <pic:nvPicPr>
                    <pic:cNvPr id="0" name="fig3_labelled.png"/>
                    <pic:cNvPicPr/>
                  </pic:nvPicPr>
                  <pic:blipFill>
                    <a:blip r:embed="rId11"/>
                    <a:stretch>
                      <a:fillRect/>
                    </a:stretch>
                  </pic:blipFill>
                  <pic:spPr>
                    <a:xfrm>
                      <a:off x="0" y="0"/>
                      <a:ext cx="5669280" cy="5381387"/>
                    </a:xfrm>
                    <a:prstGeom prst="rect"/>
                  </pic:spPr>
                </pic:pic>
              </a:graphicData>
            </a:graphic>
          </wp:inline>
        </w:drawing>
      </w:r>
    </w:p>
    <w:p>
      <w:pPr>
        <w:spacing w:after="280"/>
      </w:pPr>
    </w:p>
    <w:p>
      <w:pPr>
        <w:jc w:val="center"/>
      </w:pPr>
      <w:r>
        <w:rPr>
          <w:b/>
          <w:sz w:val="20"/>
        </w:rPr>
        <w:br/>
        <w:t>Figure 4 (★): Layered system architecture (L1 to L7)</w:t>
        <w:br/>
      </w:r>
    </w:p>
    <w:p>
      <w:r>
        <w:drawing>
          <wp:inline xmlns:a="http://schemas.openxmlformats.org/drawingml/2006/main" xmlns:pic="http://schemas.openxmlformats.org/drawingml/2006/picture">
            <wp:extent cx="5669280" cy="3853339"/>
            <wp:docPr id="4" name="Picture 4"/>
            <wp:cNvGraphicFramePr>
              <a:graphicFrameLocks noChangeAspect="1"/>
            </wp:cNvGraphicFramePr>
            <a:graphic>
              <a:graphicData uri="http://schemas.openxmlformats.org/drawingml/2006/picture">
                <pic:pic>
                  <pic:nvPicPr>
                    <pic:cNvPr id="0" name="fig4_labelled.png"/>
                    <pic:cNvPicPr/>
                  </pic:nvPicPr>
                  <pic:blipFill>
                    <a:blip r:embed="rId12"/>
                    <a:stretch>
                      <a:fillRect/>
                    </a:stretch>
                  </pic:blipFill>
                  <pic:spPr>
                    <a:xfrm>
                      <a:off x="0" y="0"/>
                      <a:ext cx="5669280" cy="3853339"/>
                    </a:xfrm>
                    <a:prstGeom prst="rect"/>
                  </pic:spPr>
                </pic:pic>
              </a:graphicData>
            </a:graphic>
          </wp:inline>
        </w:drawing>
      </w:r>
    </w:p>
    <w:p>
      <w:pPr>
        <w:spacing w:after="280"/>
      </w:pPr>
    </w:p>
    <w:p>
      <w:pPr>
        <w:jc w:val="center"/>
      </w:pPr>
      <w:r>
        <w:rPr>
          <w:b/>
          <w:sz w:val="20"/>
        </w:rPr>
        <w:br/>
        <w:t>Figure 5: Firmware architecture and main-loop structure</w:t>
        <w:br/>
      </w:r>
    </w:p>
    <w:p>
      <w:r>
        <w:drawing>
          <wp:inline xmlns:a="http://schemas.openxmlformats.org/drawingml/2006/main" xmlns:pic="http://schemas.openxmlformats.org/drawingml/2006/picture">
            <wp:extent cx="5669280" cy="3936385"/>
            <wp:docPr id="5" name="Picture 5"/>
            <wp:cNvGraphicFramePr>
              <a:graphicFrameLocks noChangeAspect="1"/>
            </wp:cNvGraphicFramePr>
            <a:graphic>
              <a:graphicData uri="http://schemas.openxmlformats.org/drawingml/2006/picture">
                <pic:pic>
                  <pic:nvPicPr>
                    <pic:cNvPr id="0" name="fig5_labelled.png"/>
                    <pic:cNvPicPr/>
                  </pic:nvPicPr>
                  <pic:blipFill>
                    <a:blip r:embed="rId13"/>
                    <a:stretch>
                      <a:fillRect/>
                    </a:stretch>
                  </pic:blipFill>
                  <pic:spPr>
                    <a:xfrm>
                      <a:off x="0" y="0"/>
                      <a:ext cx="5669280" cy="3936385"/>
                    </a:xfrm>
                    <a:prstGeom prst="rect"/>
                  </pic:spPr>
                </pic:pic>
              </a:graphicData>
            </a:graphic>
          </wp:inline>
        </w:drawing>
      </w:r>
    </w:p>
    <w:p>
      <w:pPr>
        <w:spacing w:after="280"/>
      </w:pPr>
    </w:p>
    <w:p>
      <w:pPr>
        <w:jc w:val="center"/>
      </w:pPr>
      <w:r>
        <w:rPr>
          <w:b/>
          <w:sz w:val="20"/>
        </w:rPr>
        <w:br/>
        <w:t>Figure 6 (★): In-Silico Bateman Pharmacokinetic (PK/PD) Profile</w:t>
        <w:br/>
      </w:r>
    </w:p>
    <w:p>
      <w:r>
        <w:drawing>
          <wp:inline xmlns:a="http://schemas.openxmlformats.org/drawingml/2006/main" xmlns:pic="http://schemas.openxmlformats.org/drawingml/2006/picture">
            <wp:extent cx="5669280" cy="3090426"/>
            <wp:docPr id="6" name="Picture 6"/>
            <wp:cNvGraphicFramePr>
              <a:graphicFrameLocks noChangeAspect="1"/>
            </wp:cNvGraphicFramePr>
            <a:graphic>
              <a:graphicData uri="http://schemas.openxmlformats.org/drawingml/2006/picture">
                <pic:pic>
                  <pic:nvPicPr>
                    <pic:cNvPr id="0" name="fig6_labelled.png"/>
                    <pic:cNvPicPr/>
                  </pic:nvPicPr>
                  <pic:blipFill>
                    <a:blip r:embed="rId14"/>
                    <a:stretch>
                      <a:fillRect/>
                    </a:stretch>
                  </pic:blipFill>
                  <pic:spPr>
                    <a:xfrm>
                      <a:off x="0" y="0"/>
                      <a:ext cx="5669280" cy="3090426"/>
                    </a:xfrm>
                    <a:prstGeom prst="rect"/>
                  </pic:spPr>
                </pic:pic>
              </a:graphicData>
            </a:graphic>
          </wp:inline>
        </w:drawing>
      </w:r>
    </w:p>
    <w:p>
      <w:pPr>
        <w:spacing w:after="280"/>
      </w:pPr>
    </w:p>
    <w:p>
      <w:pPr>
        <w:jc w:val="center"/>
      </w:pPr>
      <w:r>
        <w:rPr>
          <w:b/>
          <w:sz w:val="20"/>
        </w:rPr>
        <w:br/>
        <w:t>Figure 7: ASAP-Arrhenius Potency Degradation Curves</w:t>
        <w:br/>
      </w:r>
    </w:p>
    <w:p>
      <w:r>
        <w:drawing>
          <wp:inline xmlns:a="http://schemas.openxmlformats.org/drawingml/2006/main" xmlns:pic="http://schemas.openxmlformats.org/drawingml/2006/picture">
            <wp:extent cx="5669280" cy="3090426"/>
            <wp:docPr id="7" name="Picture 7"/>
            <wp:cNvGraphicFramePr>
              <a:graphicFrameLocks noChangeAspect="1"/>
            </wp:cNvGraphicFramePr>
            <a:graphic>
              <a:graphicData uri="http://schemas.openxmlformats.org/drawingml/2006/picture">
                <pic:pic>
                  <pic:nvPicPr>
                    <pic:cNvPr id="0" name="fig7_labelled.png"/>
                    <pic:cNvPicPr/>
                  </pic:nvPicPr>
                  <pic:blipFill>
                    <a:blip r:embed="rId15"/>
                    <a:stretch>
                      <a:fillRect/>
                    </a:stretch>
                  </pic:blipFill>
                  <pic:spPr>
                    <a:xfrm>
                      <a:off x="0" y="0"/>
                      <a:ext cx="5669280" cy="3090426"/>
                    </a:xfrm>
                    <a:prstGeom prst="rect"/>
                  </pic:spPr>
                </pic:pic>
              </a:graphicData>
            </a:graphic>
          </wp:inline>
        </w:drawing>
      </w:r>
    </w:p>
    <w:p>
      <w:pPr>
        <w:spacing w:after="280"/>
      </w:pPr>
    </w:p>
    <w:p>
      <w:pPr>
        <w:jc w:val="center"/>
      </w:pPr>
      <w:r>
        <w:rPr>
          <w:b/>
          <w:sz w:val="20"/>
        </w:rPr>
        <w:br/>
        <w:t>Figure 8: Web Audio API Epiglottic Transit Acoustic Spectrum</w:t>
        <w:br/>
      </w:r>
    </w:p>
    <w:p>
      <w:r>
        <w:drawing>
          <wp:inline xmlns:a="http://schemas.openxmlformats.org/drawingml/2006/main" xmlns:pic="http://schemas.openxmlformats.org/drawingml/2006/picture">
            <wp:extent cx="5669280" cy="3090426"/>
            <wp:docPr id="8" name="Picture 8"/>
            <wp:cNvGraphicFramePr>
              <a:graphicFrameLocks noChangeAspect="1"/>
            </wp:cNvGraphicFramePr>
            <a:graphic>
              <a:graphicData uri="http://schemas.openxmlformats.org/drawingml/2006/picture">
                <pic:pic>
                  <pic:nvPicPr>
                    <pic:cNvPr id="0" name="fig8_labelled.png"/>
                    <pic:cNvPicPr/>
                  </pic:nvPicPr>
                  <pic:blipFill>
                    <a:blip r:embed="rId16"/>
                    <a:stretch>
                      <a:fillRect/>
                    </a:stretch>
                  </pic:blipFill>
                  <pic:spPr>
                    <a:xfrm>
                      <a:off x="0" y="0"/>
                      <a:ext cx="5669280" cy="3090426"/>
                    </a:xfrm>
                    <a:prstGeom prst="rect"/>
                  </pic:spPr>
                </pic:pic>
              </a:graphicData>
            </a:graphic>
          </wp:inline>
        </w:drawing>
      </w:r>
    </w:p>
    <w:p>
      <w:pPr>
        <w:spacing w:after="280"/>
      </w:pPr>
    </w:p>
    <w:p>
      <w:pPr>
        <w:jc w:val="center"/>
      </w:pPr>
      <w:r>
        <w:rPr>
          <w:b/>
          <w:sz w:val="20"/>
        </w:rPr>
        <w:br/>
        <w:t>Figure 9: Dual-Mode Optical Air-Gapped Data Transmission</w:t>
        <w:br/>
      </w:r>
    </w:p>
    <w:p>
      <w:r>
        <w:drawing>
          <wp:inline xmlns:a="http://schemas.openxmlformats.org/drawingml/2006/main" xmlns:pic="http://schemas.openxmlformats.org/drawingml/2006/picture">
            <wp:extent cx="5669280" cy="2761269"/>
            <wp:docPr id="9" name="Picture 9"/>
            <wp:cNvGraphicFramePr>
              <a:graphicFrameLocks noChangeAspect="1"/>
            </wp:cNvGraphicFramePr>
            <a:graphic>
              <a:graphicData uri="http://schemas.openxmlformats.org/drawingml/2006/picture">
                <pic:pic>
                  <pic:nvPicPr>
                    <pic:cNvPr id="0" name="fig9_labelled.png"/>
                    <pic:cNvPicPr/>
                  </pic:nvPicPr>
                  <pic:blipFill>
                    <a:blip r:embed="rId17"/>
                    <a:stretch>
                      <a:fillRect/>
                    </a:stretch>
                  </pic:blipFill>
                  <pic:spPr>
                    <a:xfrm>
                      <a:off x="0" y="0"/>
                      <a:ext cx="5669280" cy="2761269"/>
                    </a:xfrm>
                    <a:prstGeom prst="rect"/>
                  </pic:spPr>
                </pic:pic>
              </a:graphicData>
            </a:graphic>
          </wp:inline>
        </w:drawing>
      </w:r>
    </w:p>
    <w:p>
      <w:pPr>
        <w:spacing w:after="280"/>
      </w:pP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