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972B0" w14:textId="65DD4A0B" w:rsidR="002374E2" w:rsidRPr="002374E2" w:rsidRDefault="002374E2" w:rsidP="002374E2">
      <w:pPr>
        <w:pStyle w:val="NormalWeb"/>
        <w:rPr>
          <w:rStyle w:val="Strong"/>
          <w:rFonts w:eastAsiaTheme="majorEastAsia"/>
          <w:b w:val="0"/>
          <w:bCs w:val="0"/>
        </w:rPr>
      </w:pPr>
      <w:r>
        <w:rPr>
          <w:rStyle w:val="Strong"/>
          <w:rFonts w:eastAsiaTheme="majorEastAsia"/>
          <w:b w:val="0"/>
          <w:bCs w:val="0"/>
        </w:rPr>
        <w:t>Week 2 Vitals</w:t>
      </w:r>
    </w:p>
    <w:p w14:paraId="6C26A346" w14:textId="77777777" w:rsidR="002374E2" w:rsidRDefault="002374E2" w:rsidP="002374E2">
      <w:pPr>
        <w:pStyle w:val="NormalWeb"/>
        <w:rPr>
          <w:rStyle w:val="Strong"/>
          <w:rFonts w:eastAsiaTheme="majorEastAsia"/>
        </w:rPr>
      </w:pPr>
    </w:p>
    <w:p w14:paraId="7417B60A" w14:textId="37DB1E50" w:rsidR="002374E2" w:rsidRDefault="002374E2" w:rsidP="002374E2">
      <w:pPr>
        <w:pStyle w:val="NormalWeb"/>
      </w:pPr>
      <w:r>
        <w:rPr>
          <w:rStyle w:val="Strong"/>
          <w:rFonts w:eastAsiaTheme="majorEastAsia"/>
        </w:rPr>
        <w:t>Vitals:</w:t>
      </w:r>
      <w:r>
        <w:t xml:space="preserve"> 118/76 mmHg, HR 70, Temp 36.7 °C</w:t>
      </w:r>
      <w:r>
        <w:br/>
      </w:r>
      <w:r>
        <w:rPr>
          <w:rStyle w:val="Strong"/>
          <w:rFonts w:eastAsiaTheme="majorEastAsia"/>
        </w:rPr>
        <w:t>AEs:</w:t>
      </w:r>
      <w:r>
        <w:t xml:space="preserve"> Mild headache on day 2, resolved next day.</w:t>
      </w:r>
      <w:r>
        <w:br/>
      </w:r>
      <w:r>
        <w:rPr>
          <w:rStyle w:val="Strong"/>
          <w:rFonts w:eastAsiaTheme="majorEastAsia"/>
        </w:rPr>
        <w:t>PK Samples:</w:t>
      </w:r>
      <w:r>
        <w:t xml:space="preserve"> pre-dose and 2 h post-dose collected → stored –80 °C.</w:t>
      </w:r>
      <w:r>
        <w:br/>
      </w:r>
      <w:r>
        <w:rPr>
          <w:rStyle w:val="Strong"/>
          <w:rFonts w:eastAsiaTheme="majorEastAsia"/>
        </w:rPr>
        <w:t>Labs:</w:t>
      </w:r>
      <w:r>
        <w:t xml:space="preserve"> ALT 29, AST 26, CRP 11.3 mg/L.</w:t>
      </w:r>
      <w:r>
        <w:br/>
      </w:r>
      <w:r>
        <w:rPr>
          <w:rStyle w:val="Strong"/>
          <w:rFonts w:eastAsiaTheme="majorEastAsia"/>
        </w:rPr>
        <w:t>Joint Count:</w:t>
      </w:r>
      <w:r>
        <w:t xml:space="preserve"> 15 T / 12 S.</w:t>
      </w:r>
      <w:r>
        <w:br/>
      </w:r>
      <w:r>
        <w:rPr>
          <w:rStyle w:val="Strong"/>
          <w:rFonts w:eastAsiaTheme="majorEastAsia"/>
        </w:rPr>
        <w:t>Comments:</w:t>
      </w:r>
      <w:r>
        <w:t xml:space="preserve"> No missed doses, tolerating drug.</w:t>
      </w:r>
    </w:p>
    <w:p w14:paraId="7FAD3354" w14:textId="77777777" w:rsidR="006004B4" w:rsidRDefault="006004B4"/>
    <w:sectPr w:rsidR="00600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E2"/>
    <w:rsid w:val="002374E2"/>
    <w:rsid w:val="002E60F8"/>
    <w:rsid w:val="00484D04"/>
    <w:rsid w:val="0049117E"/>
    <w:rsid w:val="004E5ADD"/>
    <w:rsid w:val="006004B4"/>
    <w:rsid w:val="00B81D8D"/>
    <w:rsid w:val="00C376B9"/>
    <w:rsid w:val="00DE60F8"/>
    <w:rsid w:val="00E63A40"/>
    <w:rsid w:val="00FC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D9AC2"/>
  <w15:chartTrackingRefBased/>
  <w15:docId w15:val="{E332792A-0780-EF44-98BD-CD0352DF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4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4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4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4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4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4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4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4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4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4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4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7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374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Sulabh Katila</dc:creator>
  <cp:keywords/>
  <dc:description/>
  <cp:lastModifiedBy>Sulabh Katila</cp:lastModifiedBy>
  <cp:revision>1</cp:revision>
  <dcterms:created xsi:type="dcterms:W3CDTF">2025-10-25T21:10:00Z</dcterms:created>
  <dcterms:modified xsi:type="dcterms:W3CDTF">2025-10-25T21:16:00Z</dcterms:modified>
</cp:coreProperties>
</file>