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CGM Glucose Forecasting on OhioT1DM and Shanghai_T1DM: Combined Findings 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X348bb793a486b607e4d9a93c734519dbcd9ff67"/>
    <w:p>
      <w:pPr>
        <w:pStyle w:val="Heading1"/>
      </w:pPr>
      <w:r>
        <w:t xml:space="preserve">CGM Glucose Forecasting on OhioT1DM and Shanghai_T1DM: Combined Findings Report</w:t>
      </w:r>
    </w:p>
    <w:p>
      <w:pPr>
        <w:pStyle w:val="FirstParagraph"/>
      </w:pPr>
      <w:r>
        <w:rPr>
          <w:bCs/>
          <w:b/>
        </w:rPr>
        <w:t xml:space="preserve">Datasets:</w:t>
      </w:r>
      <w:r>
        <w:t xml:space="preserve"> </w:t>
      </w:r>
      <w:r>
        <w:t xml:space="preserve">OhioT1DM, all 12 patients (6 from the 2018 release: 559, 563, 570, 575, 588, 591; 6 from the 2020 release: 540, 544, 552, 567, 584, 596) — and Shanghai_T1DM, 12 patients (1001-1012)</w:t>
      </w:r>
      <w:r>
        <w:t xml:space="preserve"> </w:t>
      </w:r>
      <w:r>
        <w:rPr>
          <w:bCs/>
          <w:b/>
        </w:rPr>
        <w:t xml:space="preserve">Horizons:</w:t>
      </w:r>
      <w:r>
        <w:t xml:space="preserve"> </w:t>
      </w:r>
      <w:r>
        <w:t xml:space="preserve">15 / 30 / 60 minutes ahead</w:t>
      </w:r>
      <w:r>
        <w:t xml:space="preserve"> </w:t>
      </w:r>
      <w:r>
        <w:rPr>
          <w:bCs/>
          <w:b/>
        </w:rPr>
        <w:t xml:space="preserve">Lookback window:</w:t>
      </w:r>
      <w:r>
        <w:t xml:space="preserve"> </w:t>
      </w:r>
      <w:r>
        <w:t xml:space="preserve">60 minutes (12 steps at 5-minute sampling for Ohio; 4 steps at 15-minute sampling for Shanghai — same wall-clock window, different step count)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r>
        <w:t xml:space="preserve">CGM-Forecasting-Research</w:t>
      </w:r>
    </w:p>
    <w:p>
      <w:pPr>
        <w:pStyle w:val="BodyText"/>
      </w:pPr>
      <w:r>
        <w:t xml:space="preserve">This report combines three experiments: (1) a</w:t>
      </w:r>
      <w:r>
        <w:t xml:space="preserve"> </w:t>
      </w:r>
      <w:r>
        <w:rPr>
          <w:bCs/>
          <w:b/>
        </w:rPr>
        <w:t xml:space="preserve">feature-set ablation</w:t>
      </w:r>
      <w:r>
        <w:t xml:space="preserve"> </w:t>
      </w:r>
      <w:r>
        <w:t xml:space="preserve">on OhioT1DM (does adding heart rate, meals, sleep, or insulin data to a fixed LSTM improve forecasts?), (2) an</w:t>
      </w:r>
      <w:r>
        <w:t xml:space="preserve"> </w:t>
      </w:r>
      <w:r>
        <w:rPr>
          <w:bCs/>
          <w:b/>
        </w:rPr>
        <w:t xml:space="preserve">architecture comparison</w:t>
      </w:r>
      <w:r>
        <w:t xml:space="preserve"> </w:t>
      </w:r>
      <w:r>
        <w:t xml:space="preserve">on OhioT1DM (does a different model — GRU, BiLSTM, TCN, Transformer — outperform a plain LSTM on the best available feature set?), and (3) the same</w:t>
      </w:r>
      <w:r>
        <w:t xml:space="preserve"> </w:t>
      </w:r>
      <w:r>
        <w:rPr>
          <w:bCs/>
          <w:b/>
        </w:rPr>
        <w:t xml:space="preserve">architecture comparison replicated on the Shanghai_T1DM cohort</w:t>
      </w:r>
      <w:r>
        <w:t xml:space="preserve">, testing whether the best-performing architecture generalizes across datasets, populations, and sampling resolutions. Patient-wise results and mean ± SD summaries are included throughout, so an average never hides a patient-level outlier without being flagged.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Auxiliary signals (HR, carbs, sleep, insulin) give at most a small, mostly non-significant boost</w:t>
      </w:r>
      <w:r>
        <w:t xml:space="preserve"> </w:t>
      </w:r>
      <w:r>
        <w:t xml:space="preserve">over glucose-only forecasting at 15–30 min horizons on OhioT1DM. The one clear exception:</w:t>
      </w:r>
      <w:r>
        <w:t xml:space="preserve"> </w:t>
      </w:r>
      <w:r>
        <w:rPr>
          <w:bCs/>
          <w:b/>
        </w:rPr>
        <w:t xml:space="preserve">meal/carb data significantly improves 60-min forecasts</w:t>
      </w:r>
      <w:r>
        <w:t xml:space="preserve"> </w:t>
      </w:r>
      <w:r>
        <w:t xml:space="preserve">(p=0.021).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Architecture matters more than extra features did.</w:t>
      </w:r>
      <w:r>
        <w:t xml:space="preserve"> </w:t>
      </w:r>
      <w:r>
        <w:t xml:space="preserve">Swapping the model architecture (holding a fixed feature set) produced larger, statistically robust differences than swapping feature sets did.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GRU is the best-performing and safest architecture at every horizon tested on OhioT1DM</w:t>
      </w:r>
      <w:r>
        <w:t xml:space="preserve">, significantly beating LSTM, BiLSTM, TCN, and Transformer at 15/30 min, and beating BiLSTM/TCN/Transformer (but tying LSTM) at 60 min.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GRU’s advantage replicates on Shanghai_T1DM — and holds even more consistently.</w:t>
      </w:r>
      <w:r>
        <w:t xml:space="preserve"> </w:t>
      </w:r>
      <w:r>
        <w:t xml:space="preserve">GRU significantly beats LSTM at all three horizons on Shanghai (p=0.016, 0.001, 0.043), where on Ohio the GRU-LSTM gap disappeared at 60 min. This is a genuine cross-dataset generalizability result, not an Ohio-specific artifact.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TCN and Transformer underperform simple recurrent models on both datasets</w:t>
      </w:r>
      <w:r>
        <w:t xml:space="preserve"> </w:t>
      </w:r>
      <w:r>
        <w:t xml:space="preserve">— a clean, consistent, and clinically meaningful finding given the limited lookback window and cohort sizes.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One Shanghai patient (1012) shows an architecture-ranking reversal across horizons</w:t>
      </w:r>
      <w:r>
        <w:t xml:space="preserve">: GRU is dramatically the best architecture for this patient at 15/30 min, but becomes the</w:t>
      </w:r>
      <w:r>
        <w:t xml:space="preserve"> </w:t>
      </w:r>
      <w:r>
        <w:rPr>
          <w:iCs/>
          <w:i/>
        </w:rPr>
        <w:t xml:space="preserve">worst</w:t>
      </w:r>
      <w:r>
        <w:t xml:space="preserve"> </w:t>
      </w:r>
      <w:r>
        <w:t xml:space="preserve">architecture at 60 min. This is flagged as a genuine anomaly worth investigating, not averaged away.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Two OhioT1DM patients (540, 567) are consistently the hardest to forecast</w:t>
      </w:r>
      <w:r>
        <w:t xml:space="preserve"> </w:t>
      </w:r>
      <w:r>
        <w:t xml:space="preserve">across every architecture and horizon, and patient 540 also has the worst clinical-safety numbers. This should not be averaged away either.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Shanghai shows lower RMSE but higher MARD than Ohio at every horizon</w:t>
      </w:r>
      <w:r>
        <w:t xml:space="preserve"> </w:t>
      </w:r>
      <w:r>
        <w:t xml:space="preserve">— likely driven by Shanghai’s cleaner data (near-zero missingness) combined with shorter per-patient recordings and a single 80/20 split rather than Ohio’s dedicated train/test files, producing more relative-error noise despite better absolute accuracy.</w:t>
      </w:r>
    </w:p>
    <w:p>
      <w:r>
        <w:pict>
          <v:rect style="width:0;height:1.5pt" o:hralign="center" o:hrstd="t" o:hr="t"/>
        </w:pict>
      </w:r>
    </w:p>
    <w:bookmarkEnd w:id="20"/>
    <w:bookmarkStart w:id="22" w:name="X5d7574361422544d1b3c9fb3028f8d75682f13b"/>
    <w:p>
      <w:pPr>
        <w:pStyle w:val="Heading2"/>
      </w:pPr>
      <w:r>
        <w:t xml:space="preserve">2. Experiment 1 — Feature-Set Ablation on OhioT1DM (fixed LSTM architecture)</w:t>
      </w:r>
    </w:p>
    <w:p>
      <w:pPr>
        <w:pStyle w:val="FirstParagraph"/>
      </w:pPr>
      <w:r>
        <w:rPr>
          <w:bCs/>
          <w:b/>
        </w:rPr>
        <w:t xml:space="preserve">Protocol:</w:t>
      </w:r>
      <w:r>
        <w:t xml:space="preserve"> </w:t>
      </w:r>
      <w:r>
        <w:t xml:space="preserve">a single LSTM (64 units) trained separately per patient, per horizon, per feature set. Feature sets B, D, F depend on HeartRate/Steps, which are 100% missing for all 6 2020 patients (different wristband hardware — confirmed by directly inspecting the XML, zero</w:t>
      </w:r>
      <w:r>
        <w:t xml:space="preserve"> </w:t>
      </w:r>
      <w:r>
        <w:rPr>
          <w:rStyle w:val="VerbatimChar"/>
        </w:rPr>
        <w:t xml:space="preserve">basis_heart_rate</w:t>
      </w:r>
      <w:r>
        <w:t xml:space="preserve">/</w:t>
      </w:r>
      <w:r>
        <w:rPr>
          <w:rStyle w:val="VerbatimChar"/>
        </w:rPr>
        <w:t xml:space="preserve">basis_steps</w:t>
      </w:r>
      <w:r>
        <w:t xml:space="preserve"> </w:t>
      </w:r>
      <w:r>
        <w:t xml:space="preserve">events) — so those three feature sets ran on the 6 2018 patients only. Feature sets A, C, E ran on all 12.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Glucose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Glucose + HeartRate</w:t>
            </w:r>
            <w:r>
              <w:t xml:space="preserve"> </w:t>
            </w:r>
            <w:r>
              <w:rPr>
                <w:iCs/>
                <w:i/>
              </w:rPr>
              <w:t xml:space="preserve">(2018 only, n=6)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Glucose + Carbs (meals)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Glucose + HR + Steps + Carbs + Sleep</w:t>
            </w:r>
            <w:r>
              <w:t xml:space="preserve"> </w:t>
            </w:r>
            <w:r>
              <w:rPr>
                <w:iCs/>
                <w:i/>
              </w:rPr>
              <w:t xml:space="preserve">(2018 only, n=6)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Glucose + Insulin (bolus + basal)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multimodal: HR + Steps + Carbs + Sleep + Insulin</w:t>
            </w:r>
            <w:r>
              <w:t xml:space="preserve"> </w:t>
            </w:r>
            <w:r>
              <w:rPr>
                <w:iCs/>
                <w:i/>
              </w:rPr>
              <w:t xml:space="preserve">(2018 only, n=6)</w:t>
            </w:r>
          </w:p>
        </w:tc>
      </w:tr>
    </w:tbl>
    <w:bookmarkStart w:id="21" w:name="X46422ce81d9da2dff3fecfa72510b804b59de6d"/>
    <w:p>
      <w:pPr>
        <w:pStyle w:val="Heading3"/>
      </w:pPr>
      <w:r>
        <w:t xml:space="preserve">2.1 Statistical significance (Wilcoxon signed-rank, paired by patient)</w:t>
      </w:r>
    </w:p>
    <w:p>
      <w:pPr>
        <w:pStyle w:val="FirstParagraph"/>
      </w:pPr>
      <w:r>
        <w:rPr>
          <w:bCs/>
          <w:b/>
        </w:rPr>
        <w:t xml:space="preserve">Across all 12 patients (A vs. C vs. 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significantly better (carbs help at 60min)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</w:tbl>
    <w:p>
      <w:pPr>
        <w:pStyle w:val="BodyText"/>
      </w:pPr>
      <w:r>
        <w:rPr>
          <w:bCs/>
          <w:b/>
        </w:rPr>
        <w:t xml:space="preserve">Within the 6 2018 patients only (does HR/Steps/full multimodal beat glucose-only?):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B (HeartRate)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D (full wearable)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F (+ insulin)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p=0.44 (B better 4/6)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p=0.16 (D better 5/6)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p=0.84 (F better 3/6)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p=0.69 (B better 4/6)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p=0.56 (D better 4/6)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p=0.44 (F better 4/6)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p=0.69 (B better 4/6)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p=0.16 (D better 5/6)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p=0.44 (F better 2/6)</w:t>
            </w:r>
          </w:p>
        </w:tc>
      </w:tr>
    </w:tbl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none of these 6-patient comparisons reach significance — likely underpowered at n=6 rather than a true null result, given D wins in 5/6 patients at two horizons.</w:t>
      </w:r>
      <w:r>
        <w:t xml:space="preserve"> </w:t>
      </w:r>
      <w:r>
        <w:t xml:space="preserve">“</w:t>
      </w:r>
      <w:r>
        <w:t xml:space="preserve">D: full wearable + meals + sleep</w:t>
      </w:r>
      <w:r>
        <w:t xml:space="preserve">”</w:t>
      </w:r>
      <w:r>
        <w:t xml:space="preserve"> </w:t>
      </w:r>
      <w:r>
        <w:t xml:space="preserve">is the most promising direction worth revisiting with more patients, but should not yet be claimed as proven.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c09babdcac00b4bbaa2ac6f4d3de8076b264baa"/>
    <w:p>
      <w:pPr>
        <w:pStyle w:val="Heading2"/>
      </w:pPr>
      <w:r>
        <w:t xml:space="preserve">3. Experiment 2 — Architecture Comparison on OhioT1DM (fixed feature set)</w:t>
      </w:r>
    </w:p>
    <w:p>
      <w:pPr>
        <w:pStyle w:val="FirstParagraph"/>
      </w:pPr>
      <w:r>
        <w:rPr>
          <w:bCs/>
          <w:b/>
        </w:rPr>
        <w:t xml:space="preserve">Protocol:</w:t>
      </w:r>
      <w:r>
        <w:t xml:space="preserve"> </w:t>
      </w:r>
      <w:r>
        <w:t xml:space="preserve">LSTM, GRU, BiLSTM, TCN, and Transformer, each trained separately per patient, per horizon, on Glucose + carbs + sleep + insulin (the feature subset available for all 12 patients). All 12 patients included in every architecture/horizon cell.</w:t>
      </w:r>
    </w:p>
    <w:bookmarkStart w:id="23" w:name="summary-mean-sd-across-all-12-patients"/>
    <w:p>
      <w:pPr>
        <w:pStyle w:val="Heading3"/>
      </w:pPr>
      <w:r>
        <w:t xml:space="preserve">3.1 Summary (mean ± SD across all 12 patients)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17.32 ± 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 ± 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6.99 ± 1.26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18.81 ± 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13.21 ± 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 ± 1.64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18.71 ± 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13.12 ± 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 ± 1.51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 ± 5.85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18.15 ± 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 ± 1.29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31.04 ± 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22.85 ± 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16.16 ± 3.55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 ± 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17.75 ± 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11.61 ± 2.28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25.96 ± 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18.80 ± 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11.92 ± 2.38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26.16 ± 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19.03 ± 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11.71 ± 2.49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31.48 ± 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23.02 ± 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13.39 ± 2.79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36.58 ± 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27.33 ± 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18.69 ± 4.24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36.78 ± 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27.63 ± 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17.81 ± 3.58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 ± 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 ± 3.83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18.28 ± 3.85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38.01 ± 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28.46 ± 3.95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19.11 ± 4.14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41.18 ± 4.32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31.24 ± 3.58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20.04 ± 4.15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44.38 ± 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34.03 ± 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24.31 ± 4.88</w:t>
            </w:r>
          </w:p>
        </w:tc>
      </w:tr>
    </w:tbl>
    <w:bookmarkEnd w:id="23"/>
    <w:bookmarkStart w:id="24" w:name="X1ef8af1a094f20e4cae5843f3dec4676bf317c5"/>
    <w:p>
      <w:pPr>
        <w:pStyle w:val="Heading3"/>
      </w:pPr>
      <w:r>
        <w:t xml:space="preserve">3.2 Statistical significance (Wilcoxon signed-rank, GRU vs. each other architecture, n=12)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 vs 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 vs 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 vs TCN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 vs Transformer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p=0.0015 ** (11/12)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p=0.0015 ** (11/12)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p=0.0005 *** (12/12)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p=0.0005 *** (12/12)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p=0.0210 * (10/12)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p=0.0015 ** (11/12)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p=0.0005 *** (12/12)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p=0.0005 *** (12/12)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p=0.38 (n.s., 7/12)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p=0.0161 * (10/12)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p=0.0005 *** (12/12)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p=0.0005 *** (12/12)</w:t>
            </w:r>
          </w:p>
        </w:tc>
      </w:tr>
    </w:tbl>
    <w:p>
      <w:pPr>
        <w:pStyle w:val="BodyText"/>
      </w:pPr>
      <w:r>
        <w:rPr>
          <w:iCs/>
          <w:i/>
        </w:rPr>
        <w:t xml:space="preserve">(* p&lt;0.05, ** p&lt;0.01, *** p&lt;0.001)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GRU’s advantage over TCN and Transformer is large, consistent, and highly significant at every horizon. GRU’s edge over LSTM and BiLSTM is real but smaller, and</w:t>
      </w:r>
      <w:r>
        <w:t xml:space="preserve"> </w:t>
      </w:r>
      <w:r>
        <w:rPr>
          <w:bCs/>
          <w:b/>
        </w:rPr>
        <w:t xml:space="preserve">disappears entirely between GRU and LSTM at 60 min</w:t>
      </w:r>
      <w:r>
        <w:t xml:space="preserve"> </w:t>
      </w:r>
      <w:r>
        <w:t xml:space="preserve">(p=0.38) — at longer horizons on Ohio, the two are statistically indistinguishable.</w:t>
      </w:r>
    </w:p>
    <w:bookmarkEnd w:id="24"/>
    <w:bookmarkStart w:id="25" w:name="Xa2cc454b077bdfb74bbdc158fdae73421e68113"/>
    <w:p>
      <w:pPr>
        <w:pStyle w:val="Heading3"/>
      </w:pPr>
      <w:r>
        <w:t xml:space="preserve">3.3 Clinical safety — Clarke Error Grid, dangerous zones (D + 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2.26%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5.44% (worst)</w:t>
            </w:r>
          </w:p>
        </w:tc>
      </w:tr>
    </w:tbl>
    <w:p>
      <w:pPr>
        <w:pStyle w:val="BodyText"/>
      </w:pPr>
      <w:r>
        <w:t xml:space="preserve">GRU has the lowest dangerous-zone rate at every horizon (tied with BiLSTM at 60min). Transformer is worst at every horizon, reaching</w:t>
      </w:r>
      <w:r>
        <w:t xml:space="preserve"> </w:t>
      </w:r>
      <w:r>
        <w:rPr>
          <w:bCs/>
          <w:b/>
        </w:rPr>
        <w:t xml:space="preserve">11.8% dangerous-zone predictions for patient 540 at 60min.</w:t>
      </w:r>
    </w:p>
    <w:bookmarkEnd w:id="25"/>
    <w:bookmarkStart w:id="26" w:name="per-patient-consistency-ohiot1dm-gru"/>
    <w:p>
      <w:pPr>
        <w:pStyle w:val="Heading3"/>
      </w:pPr>
      <w:r>
        <w:t xml:space="preserve">3.4 Per-patient consistency (OhioT1DM, GRU)</w:t>
      </w:r>
    </w:p>
    <w:p>
      <w:pPr>
        <w:pStyle w:val="FirstParagraph"/>
      </w:pPr>
      <w:r>
        <w:rPr>
          <w:bCs/>
          <w:b/>
        </w:rPr>
        <w:t xml:space="preserve">Range at 60 min:</w:t>
      </w:r>
      <w:r>
        <w:t xml:space="preserve"> </w:t>
      </w:r>
      <w:r>
        <w:t xml:space="preserve">31.1 (patient 596) to 44.4 mg/dL (patient 540) — a 13.3 mg/dL spread.</w:t>
      </w:r>
      <w:r>
        <w:t xml:space="preserve"> </w:t>
      </w:r>
      <w:r>
        <w:rPr>
          <w:bCs/>
          <w:b/>
        </w:rPr>
        <w:t xml:space="preserve">Consistently hardest patients across every architecture and horizon: 540 and 567</w:t>
      </w:r>
      <w:r>
        <w:t xml:space="preserve"> </w:t>
      </w:r>
      <w:r>
        <w:t xml:space="preserve">(both 2020 cohort). No systematic 2018-vs-2020 cohort gap was found (Mann-Whitney p=0.39–0.82 across horizons) — the difficulty is patient-specific, not cohort-specific.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2e308c7ceaa86e903348d5224eaf57f7afbb4af"/>
    <w:p>
      <w:pPr>
        <w:pStyle w:val="Heading2"/>
      </w:pPr>
      <w:r>
        <w:t xml:space="preserve">4. Experiment 3 — Cross-Dataset Generalizability: Architecture Comparison on Shanghai_T1DM</w:t>
      </w:r>
    </w:p>
    <w:p>
      <w:pPr>
        <w:pStyle w:val="FirstParagraph"/>
      </w:pPr>
      <w:r>
        <w:rPr>
          <w:bCs/>
          <w:b/>
        </w:rPr>
        <w:t xml:space="preserve">Protocol:</w:t>
      </w:r>
      <w:r>
        <w:t xml:space="preserve"> </w:t>
      </w:r>
      <w:r>
        <w:t xml:space="preserve">the same five architectures (LSTM, GRU, BiLSTM, TCN, Transformer), same horizons (15/30/60 min) and same 60-minute lookback window, replicated on the 12 Shanghai_T1DM patients (1001-1012, each patient’s earliest recorded visit). Feature set is Glucose-only, since Shanghai’s insulin/diet columns are sparse event markers rather than the dense per-timestep channels available for Ohio — this also makes it directly comparable to Ohio’s</w:t>
      </w:r>
      <w:r>
        <w:t xml:space="preserve"> </w:t>
      </w:r>
      <w:r>
        <w:t xml:space="preserve">“</w:t>
      </w:r>
      <w:r>
        <w:t xml:space="preserve">A: Glucose only</w:t>
      </w:r>
      <w:r>
        <w:t xml:space="preserve">”</w:t>
      </w:r>
      <w:r>
        <w:t xml:space="preserve"> </w:t>
      </w:r>
      <w:r>
        <w:t xml:space="preserve">baseline. Each patient’s single longest contiguous CGM segment was split chronologically 80/20 into train/test (Shanghai does not ship separate train/test files the way OhioT1DM does).</w:t>
      </w:r>
    </w:p>
    <w:bookmarkStart w:id="28" w:name="summary-mean-sd-across-12-patients-gru"/>
    <w:p>
      <w:pPr>
        <w:pStyle w:val="Heading3"/>
      </w:pPr>
      <w:r>
        <w:t xml:space="preserve">4.1 Summary (mean ± SD across 12 patients, GRU)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CEGA_A (accurate zone)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14.59 ± 4.56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9.44 ± 3.95%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88.58%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20.51 ± 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13.98 ± 5.69%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79.39%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33.08 ± 12.51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22.51 ± 9.61%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62.60%</w:t>
            </w:r>
          </w:p>
        </w:tc>
      </w:tr>
    </w:tbl>
    <w:bookmarkEnd w:id="28"/>
    <w:bookmarkStart w:id="29" w:name="X8da9306adbd081460907c4fbd7f6e55a19c9d39"/>
    <w:p>
      <w:pPr>
        <w:pStyle w:val="Heading3"/>
      </w:pPr>
      <w:r>
        <w:t xml:space="preserve">4.2 Statistical significance (Wilcoxon signed-rank, GRU vs. each other architecture, n=12)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 vs 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 vs 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 vs TCN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 vs Transformer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p=0.0161 * (10/12)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p=0.0771 (n.s., 10/12)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p=0.0049 ** (10/12)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p=0.0024 ** (11/12)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p=0.0010 *** (11/12)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p=0.0015 ** (11/12)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p=0.0269 * (9/12)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p=0.0005 *** (12/12)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p=0.0425 * (10/12)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p=0.0771 (n.s., 9/12)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p=0.0034 ** (11/12)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p=0.0005 *** (12/12)</w:t>
            </w:r>
          </w:p>
        </w:tc>
      </w:tr>
    </w:tbl>
    <w:p>
      <w:pPr>
        <w:pStyle w:val="BodyText"/>
      </w:pPr>
      <w:r>
        <w:rPr>
          <w:bCs/>
          <w:b/>
        </w:rPr>
        <w:t xml:space="preserve">GRU’s advantage over LSTM is significant at all three horizons on Shanghai</w:t>
      </w:r>
      <w:r>
        <w:t xml:space="preserve"> </w:t>
      </w:r>
      <w:r>
        <w:t xml:space="preserve">— notably stronger replication than Ohio, where the GRU-LSTM gap vanished at 60 min. GRU vs. TCN/Transformer remains large and significant throughout, matching the Ohio pattern closely.</w:t>
      </w:r>
    </w:p>
    <w:bookmarkEnd w:id="29"/>
    <w:bookmarkStart w:id="30" w:name="ohio-vs.-shanghai-direct-comparison-gru"/>
    <w:p>
      <w:pPr>
        <w:pStyle w:val="Heading3"/>
      </w:pPr>
      <w:r>
        <w:t xml:space="preserve">4.3 Ohio vs. Shanghai, direct comparison (GRU)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Ohio 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Shanghai 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Ohio MARD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Shanghai MARD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17.32 ± 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14.59 ± 4.56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 ± 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20.51 ± 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36.78 ± 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33.08 ± 12.51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22.51%</w:t>
            </w:r>
          </w:p>
        </w:tc>
      </w:tr>
    </w:tbl>
    <w:p>
      <w:pPr>
        <w:pStyle w:val="BodyText"/>
      </w:pPr>
      <w:r>
        <w:t xml:space="preserve">Shanghai’s RMSE is lower than Ohio’s at every horizon — plausibly reflecting its much cleaner CGM data (near-zero missingness vs. Ohio’s real sensor gaps). But Shanghai’s MARD is higher throughout, and its 60-min SD is nearly 3x Ohio’s (12.51 vs. 4.50). Likely drivers: Shanghai recordings are much shorter per patient (7–14 days vs. Ohio’s multi-week), giving each model far less training data, and the 80/20 chronological split (vs. Ohio’s dedicated, separately-collected test files) is a less rigorous held-out evaluation.</w:t>
      </w:r>
    </w:p>
    <w:bookmarkEnd w:id="30"/>
    <w:bookmarkStart w:id="31" w:name="X5f9237f9cb7ef0cb7538fb675d18be5108adfdf"/>
    <w:p>
      <w:pPr>
        <w:pStyle w:val="Heading3"/>
      </w:pPr>
      <w:r>
        <w:t xml:space="preserve">4.4 A genuine anomaly: patient 1012’s architecture-ranking reversal</w:t>
      </w:r>
    </w:p>
    <w:p>
      <w:pPr>
        <w:pStyle w:val="FirstParagraph"/>
      </w:pPr>
      <w:r>
        <w:t xml:space="preserve">Patient 1012 does not follow the overall pattern. At 15/30 min, GRU is</w:t>
      </w:r>
      <w:r>
        <w:t xml:space="preserve"> </w:t>
      </w:r>
      <w:r>
        <w:rPr>
          <w:iCs/>
          <w:i/>
        </w:rPr>
        <w:t xml:space="preserve">dramatically</w:t>
      </w:r>
      <w:r>
        <w:t xml:space="preserve"> </w:t>
      </w:r>
      <w:r>
        <w:t xml:space="preserve">the best architecture for this patient (16.21 vs. LSTM’s 26.15 at 15min; 25.48 vs. LSTM’s 51.00 at 30min). But at 60 min,</w:t>
      </w:r>
      <w:r>
        <w:t xml:space="preserve"> </w:t>
      </w:r>
      <w:r>
        <w:rPr>
          <w:bCs/>
          <w:b/>
        </w:rPr>
        <w:t xml:space="preserve">GRU becomes the worst-but-one architecture for this same patient</w:t>
      </w:r>
      <w:r>
        <w:t xml:space="preserve"> </w:t>
      </w:r>
      <w:r>
        <w:t xml:space="preserve">(RMSE 63.56 — only TCN’s 67.91 is worse, and it’s now behind Transformer’s 64.01 and every recurrent alternative). This is a genuine within-patient architecture-ranking reversal across horizons, not a data artifact as far as we can tell from the aggregate pipeline — it warrants direct inspection of this patient’s raw CGM trace and predictions before drawing further conclusions from the Shanghai results in isolation. Patient 1005 is also a consistently poor performer across all architectures and horizons (RMSE 48-57 at 60min), though without the same ranking reversal.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combined-interpretation"/>
    <w:p>
      <w:pPr>
        <w:pStyle w:val="Heading2"/>
      </w:pPr>
      <w:r>
        <w:t xml:space="preserve">5. Combined Interpretation</w:t>
      </w:r>
    </w:p>
    <w:p>
      <w:pPr>
        <w:pStyle w:val="FirstParagraph"/>
      </w:pPr>
      <w:r>
        <w:t xml:space="preserve">Putting all three experiments together:</w:t>
      </w:r>
      <w:r>
        <w:t xml:space="preserve"> </w:t>
      </w:r>
      <w:r>
        <w:rPr>
          <w:bCs/>
          <w:b/>
        </w:rPr>
        <w:t xml:space="preserve">architecture choice mattered more than feature-set choice on Ohio, and the specific winning architecture (GRU) generalizes to a second, independently-collected dataset with a different population, different sampling rate, and different data quality profile.</w:t>
      </w:r>
      <w:r>
        <w:t xml:space="preserve"> </w:t>
      </w:r>
      <w:r>
        <w:t xml:space="preserve">This is a stronger result than either experiment alone would suggest — it’s not just</w:t>
      </w:r>
      <w:r>
        <w:t xml:space="preserve"> </w:t>
      </w:r>
      <w:r>
        <w:t xml:space="preserve">“</w:t>
      </w:r>
      <w:r>
        <w:t xml:space="preserve">GRU happened to fit Ohio’s 6 2018 patients well,</w:t>
      </w:r>
      <w:r>
        <w:t xml:space="preserve">”</w:t>
      </w:r>
      <w:r>
        <w:t xml:space="preserve"> </w:t>
      </w:r>
      <w:r>
        <w:t xml:space="preserve">it’s a genuine architecture-level finding that replicates.</w:t>
      </w:r>
    </w:p>
    <w:p>
      <w:pPr>
        <w:pStyle w:val="BodyText"/>
      </w:pPr>
      <w:r>
        <w:t xml:space="preserve">That said, the Shanghai replication comes with real caveats the report should not gloss over: higher relative error (MARD) despite lower absolute error (RMSE), much larger patient-to-patient variance at 60 min, and one clear anomalous patient (1012) whose architecture ranking flips entirely at the longest horizon. Before treating</w:t>
      </w:r>
      <w:r>
        <w:t xml:space="preserve"> </w:t>
      </w:r>
      <w:r>
        <w:t xml:space="preserve">“</w:t>
      </w:r>
      <w:r>
        <w:t xml:space="preserve">GRU generalizes</w:t>
      </w:r>
      <w:r>
        <w:t xml:space="preserve">”</w:t>
      </w:r>
      <w:r>
        <w:t xml:space="preserve"> </w:t>
      </w:r>
      <w:r>
        <w:t xml:space="preserve">as a settled conclusion, it’s worth (a) investigating patient 1012 directly, and (b) re-running the Shanghai comparison with a more rigorous train/test split (e.g. a dedicated held-out period per patient, rather than a chronological 80/20 split) to rule out that Shanghai’s higher variance is a data-splitting artifact rather than a genuine population difference.</w:t>
      </w:r>
    </w:p>
    <w:p>
      <w:r>
        <w:pict>
          <v:rect style="width:0;height:1.5pt" o:hralign="center" o:hrstd="t" o:hr="t"/>
        </w:pict>
      </w:r>
    </w:p>
    <w:bookmarkEnd w:id="33"/>
    <w:bookmarkStart w:id="34" w:name="known-limitations"/>
    <w:p>
      <w:pPr>
        <w:pStyle w:val="Heading2"/>
      </w:pPr>
      <w:r>
        <w:t xml:space="preserve">6. Known Limitations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Feature-set comparisons for B/D/F run on only 6 patients</w:t>
      </w:r>
      <w:r>
        <w:t xml:space="preserve"> </w:t>
      </w:r>
      <w:r>
        <w:t xml:space="preserve">(2018 cohort) — likely underpowered; the promising</w:t>
      </w:r>
      <w:r>
        <w:t xml:space="preserve"> </w:t>
      </w:r>
      <w:r>
        <w:t xml:space="preserve">“</w:t>
      </w:r>
      <w:r>
        <w:t xml:space="preserve">D: full wearable</w:t>
      </w:r>
      <w:r>
        <w:t xml:space="preserve">”</w:t>
      </w:r>
      <w:r>
        <w:t xml:space="preserve"> </w:t>
      </w:r>
      <w:r>
        <w:t xml:space="preserve">direction needs a larger sample before being treated as established.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CEGA zone classification and MARD/time-lag are only computed in Experiments 2 and 3</w:t>
      </w:r>
      <w:r>
        <w:t xml:space="preserve"> </w:t>
      </w:r>
      <w:r>
        <w:t xml:space="preserve">(architecture comparisons) — Experiment 1 (feature-set) only reports RMSE/MAE/R². A useful follow-up would be re-running the feature-set ablation with the full clinical metric suite.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N-BEATS/N-HiTS and TFT were not included</w:t>
      </w:r>
      <w:r>
        <w:t xml:space="preserve"> </w:t>
      </w:r>
      <w:r>
        <w:t xml:space="preserve">in either architecture comparison — N-BEATS needs a univariate-only variant, and TFT needs a different stack (</w:t>
      </w:r>
      <w:r>
        <w:rPr>
          <w:rStyle w:val="VerbatimChar"/>
        </w:rPr>
        <w:t xml:space="preserve">pytorch-forecasting</w:t>
      </w:r>
      <w:r>
        <w:t xml:space="preserve">) than the Keras models used here.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Shanghai uses a single 80/20 chronological split per patient</w:t>
      </w:r>
      <w:r>
        <w:t xml:space="preserve">, not a dedicated separately-collected test set like Ohio — a genuine methodological gap between the two experiments that likely contributes to Shanghai’s higher variance (see §4.3-4.4).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Shanghai feature set is glucose-only</w:t>
      </w:r>
      <w:r>
        <w:t xml:space="preserve"> </w:t>
      </w:r>
      <w:r>
        <w:t xml:space="preserve">— an insulin-inclusive comparison (mirroring Ohio’s bolus/basal extraction) has not yet been built for Shanghai.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train/val/test split per patient in all experiments</w:t>
      </w:r>
      <w:r>
        <w:t xml:space="preserve"> </w:t>
      </w:r>
      <w:r>
        <w:t xml:space="preserve">— no cross-validation; results reflect one held-out test period per patient, not a K-fold estimate.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Patient 1012’s anomalous 60-min result has not been root-caused</w:t>
      </w:r>
      <w:r>
        <w:t xml:space="preserve"> </w:t>
      </w:r>
      <w:r>
        <w:t xml:space="preserve">— flagged in §4.4, not yet investigated further.</w:t>
      </w:r>
    </w:p>
    <w:p>
      <w:r>
        <w:pict>
          <v:rect style="width:0;height:1.5pt" o:hralign="center" o:hrstd="t" o:hr="t"/>
        </w:pict>
      </w:r>
    </w:p>
    <w:bookmarkEnd w:id="34"/>
    <w:bookmarkStart w:id="35" w:name="appendix-data-files"/>
    <w:p>
      <w:pPr>
        <w:pStyle w:val="Heading2"/>
      </w:pPr>
      <w:r>
        <w:t xml:space="preserve">Appendix: Data Files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featureset_patient_wise.csv</w:t>
      </w:r>
      <w:r>
        <w:t xml:space="preserve"> </w:t>
      </w:r>
      <w:r>
        <w:t xml:space="preserve">— full per-patient results, Experiment 1 (OhioT1DM feature-set ablation)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architecture_patient_wise.csv</w:t>
      </w:r>
      <w:r>
        <w:t xml:space="preserve"> </w:t>
      </w:r>
      <w:r>
        <w:t xml:space="preserve">— full per-patient results, Experiment 2 (OhioT1DM architecture comparison)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shanghai_t1dm_architecture_results.csv</w:t>
      </w:r>
      <w:r>
        <w:t xml:space="preserve"> </w:t>
      </w:r>
      <w:r>
        <w:t xml:space="preserve">— full per-patient results, Experiment 3 (Shanghai_T1DM architecture comparison)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feat_summary.csv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arch_summary.csv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shanghai_t1dm_architecture_summary.csv</w:t>
      </w:r>
      <w:r>
        <w:t xml:space="preserve"> </w:t>
      </w:r>
      <w:r>
        <w:t xml:space="preserve">— mean ± SD summary tables in machine-readable form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gru_patient_wise.csv</w:t>
      </w:r>
      <w:r>
        <w:t xml:space="preserve"> </w:t>
      </w:r>
      <w:r>
        <w:t xml:space="preserve">— the per-patient OhioT1DM GRU breakdown used in §3.4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architecture_comparison_chart.png</w:t>
      </w:r>
      <w:r>
        <w:t xml:space="preserve"> </w:t>
      </w:r>
      <w:r>
        <w:t xml:space="preserve">— mean RMSE by architecture across horizons (OhioT1DM)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per_patient_rmse.png</w:t>
      </w:r>
      <w:r>
        <w:t xml:space="preserve"> </w:t>
      </w:r>
      <w:r>
        <w:t xml:space="preserve">— per-patient RMSE spread, glucose-only baseline (OhioT1DM)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CGM Glucose Forecasting on OhioT1DM and Shanghai_T1DM: Combined Findings Report</dc:title>
  <dc:creator/>
  <cp:keywords/>
  <dcterms:created xsi:type="dcterms:W3CDTF">2026-09-23T01:18:26Z</dcterms:created>
  <dcterms:modified xsi:type="dcterms:W3CDTF">2026-09-23T01:18:26Z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