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67F69" w14:textId="5B74E907" w:rsidR="00447C57" w:rsidRDefault="00447C57" w:rsidP="00447C57">
      <w:pPr>
        <w:pStyle w:val="Heading1"/>
        <w:rPr>
          <w:rFonts w:ascii="Segoe UI Emoji" w:hAnsi="Segoe UI Emoji" w:cs="Segoe UI Emoji"/>
        </w:rPr>
      </w:pPr>
      <w:r w:rsidRPr="00447C57">
        <w:t xml:space="preserve">Sales Performance Analysis: Superstore Dashboard </w:t>
      </w:r>
    </w:p>
    <w:p w14:paraId="7560FD2B" w14:textId="77777777" w:rsidR="00447C57" w:rsidRPr="00447C57" w:rsidRDefault="00447C57" w:rsidP="00447C57"/>
    <w:p w14:paraId="4D430244" w14:textId="5E7BC22A" w:rsidR="001F3FD2" w:rsidRPr="00447C57" w:rsidRDefault="00447C57" w:rsidP="00447C57">
      <w:r w:rsidRPr="00447C57">
        <w:t>This analysis provides three key insights and a summary derived from the interactive sales dashboard, which visualizes performance across time, region, and product category.</w:t>
      </w:r>
    </w:p>
    <w:p w14:paraId="2E6B43B9" w14:textId="060498CE" w:rsidR="00447C57" w:rsidRPr="001F3FD2" w:rsidRDefault="00447C57" w:rsidP="00447C57">
      <w:pPr>
        <w:pStyle w:val="ListParagraph"/>
        <w:numPr>
          <w:ilvl w:val="0"/>
          <w:numId w:val="5"/>
        </w:numPr>
        <w:rPr>
          <w:b/>
          <w:bCs/>
        </w:rPr>
      </w:pPr>
      <w:r w:rsidRPr="001F3FD2">
        <w:rPr>
          <w:b/>
          <w:bCs/>
        </w:rPr>
        <w:t>Key Performance Indicator (KPI) Analysis</w:t>
      </w:r>
    </w:p>
    <w:p w14:paraId="479DA660" w14:textId="0841E9FA" w:rsidR="00447C57" w:rsidRDefault="001F3FD2" w:rsidP="00447C57">
      <w:pPr>
        <w:pStyle w:val="ListParagraph"/>
      </w:pPr>
      <w:r>
        <w:t>Total sales as 2.1 million in current year</w:t>
      </w:r>
    </w:p>
    <w:p w14:paraId="68ABDB4A" w14:textId="1FF08013" w:rsidR="001F3FD2" w:rsidRPr="00447C57" w:rsidRDefault="001F3FD2" w:rsidP="00447C57">
      <w:pPr>
        <w:pStyle w:val="ListParagraph"/>
      </w:pPr>
      <w:r>
        <w:t xml:space="preserve">Total profit shows 240k </w:t>
      </w:r>
    </w:p>
    <w:p w14:paraId="0200AF70" w14:textId="77777777" w:rsidR="00447C57" w:rsidRPr="00447C57" w:rsidRDefault="00447C57" w:rsidP="00447C57">
      <w:r w:rsidRPr="00447C57">
        <w:t>2</w:t>
      </w:r>
      <w:r w:rsidRPr="001F3FD2">
        <w:rPr>
          <w:b/>
          <w:bCs/>
        </w:rPr>
        <w:t>. Regional and Category Performance Deep Dive</w:t>
      </w:r>
    </w:p>
    <w:p w14:paraId="6F5701E6" w14:textId="77777777" w:rsidR="00447C57" w:rsidRPr="00447C57" w:rsidRDefault="00447C57" w:rsidP="00447C57">
      <w:r w:rsidRPr="00447C57">
        <w:t>Insight 1: Regional Sales Dominance (Bar Chart)</w:t>
      </w:r>
    </w:p>
    <w:p w14:paraId="77F0C6D2" w14:textId="77777777" w:rsidR="00447C57" w:rsidRPr="00447C57" w:rsidRDefault="00447C57" w:rsidP="00447C57">
      <w:r w:rsidRPr="00447C57">
        <w:t>The West Region is the clear leader in revenue generation.</w:t>
      </w:r>
    </w:p>
    <w:p w14:paraId="6B085734" w14:textId="77777777" w:rsidR="00447C57" w:rsidRPr="00447C57" w:rsidRDefault="00447C57" w:rsidP="00447C57">
      <w:r w:rsidRPr="00447C57">
        <w:t>West consistently contributed the highest total sales, making it the most reliable driver of overall revenue.</w:t>
      </w:r>
    </w:p>
    <w:p w14:paraId="3A065BE7" w14:textId="77777777" w:rsidR="00447C57" w:rsidRPr="00447C57" w:rsidRDefault="00447C57" w:rsidP="00447C57">
      <w:r w:rsidRPr="00447C57">
        <w:t>Central and South regions lag significantly behind, requiring targeted strategies to boost sales or reduce operating costs to improve profitability.</w:t>
      </w:r>
    </w:p>
    <w:p w14:paraId="21008A0E" w14:textId="48CEF7B8" w:rsidR="00447C57" w:rsidRPr="00447C57" w:rsidRDefault="001F3FD2" w:rsidP="001F3FD2">
      <w:r>
        <w:t>-</w:t>
      </w:r>
      <w:r w:rsidR="00447C57" w:rsidRPr="00447C57">
        <w:t>Insight 2: Category Profitability Challenge (Donut Chart)</w:t>
      </w:r>
    </w:p>
    <w:p w14:paraId="2CBD0C76" w14:textId="77777777" w:rsidR="00447C57" w:rsidRPr="00447C57" w:rsidRDefault="00447C57" w:rsidP="00447C57">
      <w:r w:rsidRPr="00447C57">
        <w:t>While the Technology category drives the largest share of revenue, the Furniture category poses a significant profit challenge.</w:t>
      </w:r>
    </w:p>
    <w:p w14:paraId="7FD905BB" w14:textId="10BB2432" w:rsidR="001F3FD2" w:rsidRDefault="00447C57" w:rsidP="00447C57">
      <w:r w:rsidRPr="00447C57">
        <w:t xml:space="preserve">Technology </w:t>
      </w:r>
      <w:r w:rsidR="001F3FD2">
        <w:t xml:space="preserve">is </w:t>
      </w:r>
      <w:r w:rsidRPr="00447C57">
        <w:t xml:space="preserve"> the most profitable and highest-selling categories.</w:t>
      </w:r>
    </w:p>
    <w:p w14:paraId="4A94CEF1" w14:textId="77777777" w:rsidR="001F3FD2" w:rsidRPr="00447C57" w:rsidRDefault="001F3FD2" w:rsidP="00447C57"/>
    <w:p w14:paraId="54DF6551" w14:textId="77777777" w:rsidR="00447C57" w:rsidRPr="001F3FD2" w:rsidRDefault="00447C57" w:rsidP="00447C57">
      <w:pPr>
        <w:rPr>
          <w:b/>
          <w:bCs/>
        </w:rPr>
      </w:pPr>
      <w:r w:rsidRPr="001F3FD2">
        <w:rPr>
          <w:b/>
          <w:bCs/>
        </w:rPr>
        <w:t>3. Trend Analysis</w:t>
      </w:r>
    </w:p>
    <w:p w14:paraId="193EAE7E" w14:textId="77777777" w:rsidR="00447C57" w:rsidRPr="00447C57" w:rsidRDefault="00447C57" w:rsidP="00447C57">
      <w:r w:rsidRPr="00447C57">
        <w:t>Insight 3: Pronounced Seasonal Spike (Line Chart)</w:t>
      </w:r>
    </w:p>
    <w:p w14:paraId="14B8D7FD" w14:textId="77777777" w:rsidR="00447C57" w:rsidRPr="00447C57" w:rsidRDefault="00447C57" w:rsidP="00447C57">
      <w:r w:rsidRPr="00447C57">
        <w:t>Sales exhibit a strong, predictable seasonal spike every year.</w:t>
      </w:r>
    </w:p>
    <w:p w14:paraId="1242D1F1" w14:textId="77777777" w:rsidR="00447C57" w:rsidRPr="00447C57" w:rsidRDefault="00447C57" w:rsidP="00447C57">
      <w:r w:rsidRPr="00447C57">
        <w:t>The line chart confirms that the highest sales volumes consistently occur in November and December.</w:t>
      </w:r>
    </w:p>
    <w:p w14:paraId="287CB38A" w14:textId="77777777" w:rsidR="00447C57" w:rsidRDefault="00447C57" w:rsidP="00447C57">
      <w:r w:rsidRPr="00447C57">
        <w:t>This predictable surge indicates that marketing and inventory efforts should be heavily concentrated in Q4 to maximize revenue capture. Sales drop dramatically in January and February, which is a normal post-holiday trend.</w:t>
      </w:r>
    </w:p>
    <w:p w14:paraId="168EB53C" w14:textId="77777777" w:rsidR="001F3FD2" w:rsidRDefault="001F3FD2" w:rsidP="00447C57"/>
    <w:p w14:paraId="7ED8CEA0" w14:textId="77777777" w:rsidR="001F3FD2" w:rsidRPr="00447C57" w:rsidRDefault="001F3FD2" w:rsidP="00447C57"/>
    <w:p w14:paraId="53007652" w14:textId="77777777" w:rsidR="00447C57" w:rsidRPr="00447C57" w:rsidRDefault="00447C57" w:rsidP="00447C57">
      <w:r w:rsidRPr="00447C57">
        <w:lastRenderedPageBreak/>
        <w:pict w14:anchorId="2A16520D">
          <v:rect id="_x0000_i1031" style="width:0;height:1.5pt" o:hralign="center" o:hrstd="t" o:hr="t" fillcolor="#a0a0a0" stroked="f"/>
        </w:pict>
      </w:r>
    </w:p>
    <w:p w14:paraId="53C802AD" w14:textId="77777777" w:rsidR="00447C57" w:rsidRPr="001F3FD2" w:rsidRDefault="00447C57" w:rsidP="00447C57">
      <w:pPr>
        <w:rPr>
          <w:b/>
          <w:bCs/>
        </w:rPr>
      </w:pPr>
      <w:r w:rsidRPr="001F3FD2">
        <w:rPr>
          <w:b/>
          <w:bCs/>
        </w:rPr>
        <w:t>Summary Conclusion</w:t>
      </w:r>
    </w:p>
    <w:p w14:paraId="3B1B8D5A" w14:textId="77777777" w:rsidR="00447C57" w:rsidRPr="00447C57" w:rsidRDefault="00447C57" w:rsidP="00447C57">
      <w:r w:rsidRPr="00447C57">
        <w:t xml:space="preserve">The business is generally healthy, driven by strong sales growth in the West and reliable profitability from the Technology sector. However, the biggest opportunity for profit improvement lies in addressing the cost or pricing issues within the Furniture </w:t>
      </w:r>
      <w:proofErr w:type="gramStart"/>
      <w:r w:rsidRPr="00447C57">
        <w:t>category, and</w:t>
      </w:r>
      <w:proofErr w:type="gramEnd"/>
      <w:r w:rsidRPr="00447C57">
        <w:t xml:space="preserve"> leveraging the predictable Q4 sales spike with optimized seasonal campaigns.</w:t>
      </w:r>
    </w:p>
    <w:p w14:paraId="5798946D" w14:textId="5722B1D1" w:rsidR="00792593" w:rsidRDefault="00792593" w:rsidP="00447C57">
      <w:pPr>
        <w:rPr>
          <w:lang w:val="en-US"/>
        </w:rPr>
      </w:pPr>
    </w:p>
    <w:p w14:paraId="33DAB568" w14:textId="77777777" w:rsidR="00447C57" w:rsidRDefault="00447C57" w:rsidP="00447C57">
      <w:pPr>
        <w:rPr>
          <w:lang w:val="en-US"/>
        </w:rPr>
      </w:pPr>
    </w:p>
    <w:p w14:paraId="6277E188" w14:textId="77777777" w:rsidR="00447C57" w:rsidRDefault="00447C57" w:rsidP="00447C57">
      <w:pPr>
        <w:rPr>
          <w:lang w:val="en-US"/>
        </w:rPr>
      </w:pPr>
    </w:p>
    <w:p w14:paraId="18B69191" w14:textId="4EB5C042" w:rsidR="00447C57" w:rsidRPr="00447C57" w:rsidRDefault="00447C57" w:rsidP="00447C57">
      <w:pPr>
        <w:rPr>
          <w:lang w:val="en-US"/>
        </w:rPr>
      </w:pPr>
    </w:p>
    <w:sectPr w:rsidR="00447C57" w:rsidRPr="00447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76365"/>
    <w:multiLevelType w:val="hybridMultilevel"/>
    <w:tmpl w:val="87986690"/>
    <w:lvl w:ilvl="0" w:tplc="D2B2AAF8">
      <w:start w:val="1"/>
      <w:numFmt w:val="bullet"/>
      <w:lvlText w:val="-"/>
      <w:lvlJc w:val="left"/>
      <w:pPr>
        <w:ind w:left="405" w:hanging="360"/>
      </w:pPr>
      <w:rPr>
        <w:rFonts w:ascii="Aptos" w:eastAsiaTheme="minorHAnsi" w:hAnsi="Aptos" w:cstheme="minorBidi"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1" w15:restartNumberingAfterBreak="0">
    <w:nsid w:val="21F90134"/>
    <w:multiLevelType w:val="multilevel"/>
    <w:tmpl w:val="CA82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461AC"/>
    <w:multiLevelType w:val="hybridMultilevel"/>
    <w:tmpl w:val="54B8A8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CE7CAB"/>
    <w:multiLevelType w:val="multilevel"/>
    <w:tmpl w:val="E660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A229E"/>
    <w:multiLevelType w:val="multilevel"/>
    <w:tmpl w:val="9F2E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FB5879"/>
    <w:multiLevelType w:val="multilevel"/>
    <w:tmpl w:val="A3C2C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0C3EE1"/>
    <w:multiLevelType w:val="hybridMultilevel"/>
    <w:tmpl w:val="12CA3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8177853">
    <w:abstractNumId w:val="5"/>
  </w:num>
  <w:num w:numId="2" w16cid:durableId="1040980240">
    <w:abstractNumId w:val="3"/>
  </w:num>
  <w:num w:numId="3" w16cid:durableId="312491225">
    <w:abstractNumId w:val="4"/>
  </w:num>
  <w:num w:numId="4" w16cid:durableId="934899717">
    <w:abstractNumId w:val="1"/>
  </w:num>
  <w:num w:numId="5" w16cid:durableId="1075053415">
    <w:abstractNumId w:val="2"/>
  </w:num>
  <w:num w:numId="6" w16cid:durableId="309331652">
    <w:abstractNumId w:val="6"/>
  </w:num>
  <w:num w:numId="7" w16cid:durableId="973409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C57"/>
    <w:rsid w:val="001F3FD2"/>
    <w:rsid w:val="00447C57"/>
    <w:rsid w:val="00792593"/>
    <w:rsid w:val="007F37CE"/>
    <w:rsid w:val="00CA6B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83CCE"/>
  <w15:chartTrackingRefBased/>
  <w15:docId w15:val="{A238FEDF-1040-462D-B072-2D5D18CE6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C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C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C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C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C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C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C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C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C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C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C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C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C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C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C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C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C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C57"/>
    <w:rPr>
      <w:rFonts w:eastAsiaTheme="majorEastAsia" w:cstheme="majorBidi"/>
      <w:color w:val="272727" w:themeColor="text1" w:themeTint="D8"/>
    </w:rPr>
  </w:style>
  <w:style w:type="paragraph" w:styleId="Title">
    <w:name w:val="Title"/>
    <w:basedOn w:val="Normal"/>
    <w:next w:val="Normal"/>
    <w:link w:val="TitleChar"/>
    <w:uiPriority w:val="10"/>
    <w:qFormat/>
    <w:rsid w:val="00447C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C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C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C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C57"/>
    <w:pPr>
      <w:spacing w:before="160"/>
      <w:jc w:val="center"/>
    </w:pPr>
    <w:rPr>
      <w:i/>
      <w:iCs/>
      <w:color w:val="404040" w:themeColor="text1" w:themeTint="BF"/>
    </w:rPr>
  </w:style>
  <w:style w:type="character" w:customStyle="1" w:styleId="QuoteChar">
    <w:name w:val="Quote Char"/>
    <w:basedOn w:val="DefaultParagraphFont"/>
    <w:link w:val="Quote"/>
    <w:uiPriority w:val="29"/>
    <w:rsid w:val="00447C57"/>
    <w:rPr>
      <w:i/>
      <w:iCs/>
      <w:color w:val="404040" w:themeColor="text1" w:themeTint="BF"/>
    </w:rPr>
  </w:style>
  <w:style w:type="paragraph" w:styleId="ListParagraph">
    <w:name w:val="List Paragraph"/>
    <w:basedOn w:val="Normal"/>
    <w:uiPriority w:val="34"/>
    <w:qFormat/>
    <w:rsid w:val="00447C57"/>
    <w:pPr>
      <w:ind w:left="720"/>
      <w:contextualSpacing/>
    </w:pPr>
  </w:style>
  <w:style w:type="character" w:styleId="IntenseEmphasis">
    <w:name w:val="Intense Emphasis"/>
    <w:basedOn w:val="DefaultParagraphFont"/>
    <w:uiPriority w:val="21"/>
    <w:qFormat/>
    <w:rsid w:val="00447C57"/>
    <w:rPr>
      <w:i/>
      <w:iCs/>
      <w:color w:val="0F4761" w:themeColor="accent1" w:themeShade="BF"/>
    </w:rPr>
  </w:style>
  <w:style w:type="paragraph" w:styleId="IntenseQuote">
    <w:name w:val="Intense Quote"/>
    <w:basedOn w:val="Normal"/>
    <w:next w:val="Normal"/>
    <w:link w:val="IntenseQuoteChar"/>
    <w:uiPriority w:val="30"/>
    <w:qFormat/>
    <w:rsid w:val="00447C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C57"/>
    <w:rPr>
      <w:i/>
      <w:iCs/>
      <w:color w:val="0F4761" w:themeColor="accent1" w:themeShade="BF"/>
    </w:rPr>
  </w:style>
  <w:style w:type="character" w:styleId="IntenseReference">
    <w:name w:val="Intense Reference"/>
    <w:basedOn w:val="DefaultParagraphFont"/>
    <w:uiPriority w:val="32"/>
    <w:qFormat/>
    <w:rsid w:val="00447C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2025-10-05T11:59:00Z</dcterms:created>
  <dcterms:modified xsi:type="dcterms:W3CDTF">2025-10-05T12:19:00Z</dcterms:modified>
</cp:coreProperties>
</file>