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372" w:type="dxa"/>
        <w:tblCellMar>
          <w:left w:w="0" w:type="dxa"/>
          <w:right w:w="0" w:type="dxa"/>
        </w:tblCellMar>
        <w:tblLook w:val="04A0" w:firstRow="1" w:lastRow="0" w:firstColumn="1" w:lastColumn="0" w:noHBand="0" w:noVBand="1"/>
      </w:tblPr>
      <w:tblGrid>
        <w:gridCol w:w="1792"/>
        <w:gridCol w:w="1800"/>
        <w:gridCol w:w="1890"/>
        <w:gridCol w:w="1890"/>
      </w:tblGrid>
      <w:tr w:rsidR="0096260B" w:rsidRPr="0096260B" w14:paraId="64454276" w14:textId="77777777" w:rsidTr="007C269C">
        <w:trPr>
          <w:trHeight w:val="246"/>
        </w:trPr>
        <w:tc>
          <w:tcPr>
            <w:tcW w:w="7372" w:type="dxa"/>
            <w:gridSpan w:val="4"/>
            <w:tcBorders>
              <w:top w:val="single" w:sz="8" w:space="0" w:color="FFFFFF"/>
              <w:left w:val="single" w:sz="8" w:space="0" w:color="FFFFFF"/>
              <w:bottom w:val="single" w:sz="24" w:space="0" w:color="FFFFFF"/>
              <w:right w:val="single" w:sz="8" w:space="0" w:color="FFFFFF"/>
            </w:tcBorders>
            <w:shd w:val="clear" w:color="auto" w:fill="4472C4"/>
            <w:tcMar>
              <w:top w:w="8" w:type="dxa"/>
              <w:left w:w="8" w:type="dxa"/>
              <w:bottom w:w="8" w:type="dxa"/>
              <w:right w:w="8" w:type="dxa"/>
            </w:tcMar>
            <w:vAlign w:val="center"/>
            <w:hideMark/>
          </w:tcPr>
          <w:p w14:paraId="58202556" w14:textId="77777777" w:rsidR="0096260B" w:rsidRPr="0096260B" w:rsidRDefault="0096260B" w:rsidP="0096260B">
            <w:r w:rsidRPr="0096260B">
              <w:rPr>
                <w:b/>
                <w:bCs/>
              </w:rPr>
              <w:t>TYPES OF STORAGE ACCOUNTS</w:t>
            </w:r>
          </w:p>
        </w:tc>
      </w:tr>
      <w:tr w:rsidR="007C269C" w:rsidRPr="0096260B" w14:paraId="132C2100" w14:textId="77777777" w:rsidTr="007C269C">
        <w:trPr>
          <w:trHeight w:val="480"/>
        </w:trPr>
        <w:tc>
          <w:tcPr>
            <w:tcW w:w="1792" w:type="dxa"/>
            <w:tcBorders>
              <w:top w:val="single" w:sz="24" w:space="0" w:color="FFFFFF"/>
              <w:left w:val="single" w:sz="8" w:space="0" w:color="FFFFFF"/>
              <w:bottom w:val="single" w:sz="8" w:space="0" w:color="FFFFFF"/>
              <w:right w:val="single" w:sz="8" w:space="0" w:color="FFFFFF"/>
            </w:tcBorders>
            <w:shd w:val="clear" w:color="auto" w:fill="4472C4"/>
            <w:tcMar>
              <w:top w:w="8" w:type="dxa"/>
              <w:left w:w="8" w:type="dxa"/>
              <w:bottom w:w="8" w:type="dxa"/>
              <w:right w:w="8" w:type="dxa"/>
            </w:tcMar>
            <w:hideMark/>
          </w:tcPr>
          <w:p w14:paraId="50138A20" w14:textId="77777777" w:rsidR="0096260B" w:rsidRPr="0096260B" w:rsidRDefault="0096260B" w:rsidP="0096260B">
            <w:r w:rsidRPr="0096260B">
              <w:rPr>
                <w:b/>
                <w:bCs/>
              </w:rPr>
              <w:t>Type of storage account</w:t>
            </w:r>
          </w:p>
        </w:tc>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18A6BEA0" w14:textId="77777777" w:rsidR="0096260B" w:rsidRPr="0096260B" w:rsidRDefault="0096260B" w:rsidP="0096260B">
            <w:r w:rsidRPr="0096260B">
              <w:t>Supported storage services</w:t>
            </w:r>
          </w:p>
        </w:tc>
        <w:tc>
          <w:tcPr>
            <w:tcW w:w="1890" w:type="dxa"/>
            <w:tcBorders>
              <w:top w:val="single" w:sz="24"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4FEBC12A" w14:textId="77777777" w:rsidR="0096260B" w:rsidRPr="0096260B" w:rsidRDefault="0096260B" w:rsidP="0096260B">
            <w:r w:rsidRPr="0096260B">
              <w:t>Redundancy options</w:t>
            </w:r>
          </w:p>
        </w:tc>
        <w:tc>
          <w:tcPr>
            <w:tcW w:w="1890" w:type="dxa"/>
            <w:tcBorders>
              <w:top w:val="single" w:sz="24"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225E3536" w14:textId="77777777" w:rsidR="0096260B" w:rsidRPr="0096260B" w:rsidRDefault="0096260B" w:rsidP="0096260B">
            <w:r w:rsidRPr="0096260B">
              <w:t>Usage</w:t>
            </w:r>
          </w:p>
        </w:tc>
      </w:tr>
      <w:tr w:rsidR="007C269C" w:rsidRPr="0096260B" w14:paraId="2DC7B21F" w14:textId="77777777" w:rsidTr="007C269C">
        <w:trPr>
          <w:trHeight w:val="2355"/>
        </w:trPr>
        <w:tc>
          <w:tcPr>
            <w:tcW w:w="1792" w:type="dxa"/>
            <w:tcBorders>
              <w:top w:val="single" w:sz="8" w:space="0" w:color="FFFFFF"/>
              <w:left w:val="single" w:sz="8" w:space="0" w:color="FFFFFF"/>
              <w:bottom w:val="single" w:sz="8" w:space="0" w:color="FFFFFF"/>
              <w:right w:val="single" w:sz="8" w:space="0" w:color="FFFFFF"/>
            </w:tcBorders>
            <w:shd w:val="clear" w:color="auto" w:fill="4472C4"/>
            <w:tcMar>
              <w:top w:w="8" w:type="dxa"/>
              <w:left w:w="8" w:type="dxa"/>
              <w:bottom w:w="8" w:type="dxa"/>
              <w:right w:w="8" w:type="dxa"/>
            </w:tcMar>
            <w:hideMark/>
          </w:tcPr>
          <w:p w14:paraId="1EFAC250" w14:textId="77777777" w:rsidR="0096260B" w:rsidRPr="0096260B" w:rsidRDefault="0096260B" w:rsidP="0096260B">
            <w:r w:rsidRPr="0096260B">
              <w:rPr>
                <w:b/>
                <w:bCs/>
              </w:rPr>
              <w:t>Standard general-purpose v2</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8" w:type="dxa"/>
              <w:left w:w="8" w:type="dxa"/>
              <w:bottom w:w="8" w:type="dxa"/>
              <w:right w:w="8" w:type="dxa"/>
            </w:tcMar>
            <w:hideMark/>
          </w:tcPr>
          <w:p w14:paraId="14FD2B37" w14:textId="77777777" w:rsidR="0096260B" w:rsidRPr="0096260B" w:rsidRDefault="0096260B" w:rsidP="0096260B">
            <w:r w:rsidRPr="0096260B">
              <w:t>Blob (including Data Lake Storage</w:t>
            </w:r>
            <w:r w:rsidRPr="0096260B">
              <w:rPr>
                <w:vertAlign w:val="superscript"/>
              </w:rPr>
              <w:t>1</w:t>
            </w:r>
            <w:r w:rsidRPr="0096260B">
              <w:t>), Queue, and Table storage, Azure Files</w:t>
            </w:r>
          </w:p>
        </w:tc>
        <w:tc>
          <w:tcPr>
            <w:tcW w:w="1890" w:type="dxa"/>
            <w:tcBorders>
              <w:top w:val="single" w:sz="8" w:space="0" w:color="FFFFFF"/>
              <w:left w:val="single" w:sz="8" w:space="0" w:color="FFFFFF"/>
              <w:bottom w:val="single" w:sz="8" w:space="0" w:color="FFFFFF"/>
              <w:right w:val="single" w:sz="8" w:space="0" w:color="FFFFFF"/>
            </w:tcBorders>
            <w:shd w:val="clear" w:color="auto" w:fill="E9EBF5"/>
            <w:tcMar>
              <w:top w:w="8" w:type="dxa"/>
              <w:left w:w="8" w:type="dxa"/>
              <w:bottom w:w="8" w:type="dxa"/>
              <w:right w:w="8" w:type="dxa"/>
            </w:tcMar>
            <w:hideMark/>
          </w:tcPr>
          <w:p w14:paraId="4F6FA0A4" w14:textId="77777777" w:rsidR="0096260B" w:rsidRPr="0096260B" w:rsidRDefault="0096260B" w:rsidP="0096260B">
            <w:r w:rsidRPr="0096260B">
              <w:t>LRS/GRS/RA-GRS</w:t>
            </w:r>
            <w:r w:rsidRPr="0096260B">
              <w:br/>
            </w:r>
            <w:r w:rsidRPr="0096260B">
              <w:br/>
              <w:t>ZRS/GZRS/RA-GZRS</w:t>
            </w:r>
            <w:r w:rsidRPr="0096260B">
              <w:rPr>
                <w:vertAlign w:val="superscript"/>
              </w:rPr>
              <w:t>2</w:t>
            </w:r>
          </w:p>
        </w:tc>
        <w:tc>
          <w:tcPr>
            <w:tcW w:w="1890" w:type="dxa"/>
            <w:tcBorders>
              <w:top w:val="single" w:sz="8" w:space="0" w:color="FFFFFF"/>
              <w:left w:val="single" w:sz="8" w:space="0" w:color="FFFFFF"/>
              <w:bottom w:val="single" w:sz="8" w:space="0" w:color="FFFFFF"/>
              <w:right w:val="single" w:sz="8" w:space="0" w:color="FFFFFF"/>
            </w:tcBorders>
            <w:shd w:val="clear" w:color="auto" w:fill="E9EBF5"/>
            <w:tcMar>
              <w:top w:w="8" w:type="dxa"/>
              <w:left w:w="8" w:type="dxa"/>
              <w:bottom w:w="8" w:type="dxa"/>
              <w:right w:w="8" w:type="dxa"/>
            </w:tcMar>
            <w:hideMark/>
          </w:tcPr>
          <w:p w14:paraId="08728E3F" w14:textId="77777777" w:rsidR="0096260B" w:rsidRPr="0096260B" w:rsidRDefault="0096260B" w:rsidP="0096260B">
            <w:r w:rsidRPr="0096260B">
              <w:t>Standard storage account type for blobs, file shares, queues, and tables. Recommended for most scenarios using Azure Storage. Note that if you want support for NFS file shares in Azure Files, use the premium file shares account type.</w:t>
            </w:r>
          </w:p>
        </w:tc>
      </w:tr>
      <w:tr w:rsidR="007C269C" w:rsidRPr="0096260B" w14:paraId="18650966" w14:textId="77777777" w:rsidTr="007C269C">
        <w:trPr>
          <w:trHeight w:val="2600"/>
        </w:trPr>
        <w:tc>
          <w:tcPr>
            <w:tcW w:w="1792" w:type="dxa"/>
            <w:tcBorders>
              <w:top w:val="single" w:sz="8" w:space="0" w:color="FFFFFF"/>
              <w:left w:val="single" w:sz="8" w:space="0" w:color="FFFFFF"/>
              <w:bottom w:val="single" w:sz="8" w:space="0" w:color="FFFFFF"/>
              <w:right w:val="single" w:sz="8" w:space="0" w:color="FFFFFF"/>
            </w:tcBorders>
            <w:shd w:val="clear" w:color="auto" w:fill="4472C4"/>
            <w:tcMar>
              <w:top w:w="8" w:type="dxa"/>
              <w:left w:w="8" w:type="dxa"/>
              <w:bottom w:w="8" w:type="dxa"/>
              <w:right w:w="8" w:type="dxa"/>
            </w:tcMar>
            <w:hideMark/>
          </w:tcPr>
          <w:p w14:paraId="610921AE" w14:textId="77777777" w:rsidR="0096260B" w:rsidRPr="0096260B" w:rsidRDefault="0096260B" w:rsidP="0096260B">
            <w:r w:rsidRPr="0096260B">
              <w:rPr>
                <w:b/>
                <w:bCs/>
              </w:rPr>
              <w:t>Premium block blobs</w:t>
            </w:r>
            <w:r w:rsidRPr="0096260B">
              <w:rPr>
                <w:b/>
                <w:bCs/>
                <w:vertAlign w:val="superscript"/>
              </w:rPr>
              <w:t>3</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365E08EC" w14:textId="77777777" w:rsidR="0096260B" w:rsidRPr="0096260B" w:rsidRDefault="0096260B" w:rsidP="0096260B">
            <w:r w:rsidRPr="0096260B">
              <w:t>Blob storage (including Data Lake Storage</w:t>
            </w:r>
            <w:r w:rsidRPr="0096260B">
              <w:rPr>
                <w:vertAlign w:val="superscript"/>
              </w:rPr>
              <w:t>1</w:t>
            </w:r>
            <w:r w:rsidRPr="0096260B">
              <w:t>)</w:t>
            </w:r>
          </w:p>
        </w:tc>
        <w:tc>
          <w:tcPr>
            <w:tcW w:w="1890" w:type="dxa"/>
            <w:tcBorders>
              <w:top w:val="single" w:sz="8"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5089111D" w14:textId="77777777" w:rsidR="0096260B" w:rsidRPr="0096260B" w:rsidRDefault="0096260B" w:rsidP="0096260B">
            <w:r w:rsidRPr="0096260B">
              <w:t>LRS</w:t>
            </w:r>
            <w:r w:rsidRPr="0096260B">
              <w:br/>
            </w:r>
            <w:r w:rsidRPr="0096260B">
              <w:br/>
              <w:t>ZRS</w:t>
            </w:r>
            <w:r w:rsidRPr="0096260B">
              <w:rPr>
                <w:vertAlign w:val="superscript"/>
              </w:rPr>
              <w:t>2</w:t>
            </w:r>
          </w:p>
        </w:tc>
        <w:tc>
          <w:tcPr>
            <w:tcW w:w="1890" w:type="dxa"/>
            <w:tcBorders>
              <w:top w:val="single" w:sz="8"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35625509" w14:textId="77777777" w:rsidR="0096260B" w:rsidRPr="0096260B" w:rsidRDefault="0096260B" w:rsidP="0096260B">
            <w:r w:rsidRPr="0096260B">
              <w:t>Premium storage account type for block blobs and append blobs. Recommended for scenarios with high transactions rates, or scenarios that use smaller objects or require consistently low storage latency. </w:t>
            </w:r>
            <w:hyperlink r:id="rId4" w:history="1">
              <w:r w:rsidRPr="0096260B">
                <w:rPr>
                  <w:rStyle w:val="Hyperlink"/>
                </w:rPr>
                <w:t>Learn more about example workloads.</w:t>
              </w:r>
            </w:hyperlink>
          </w:p>
        </w:tc>
      </w:tr>
      <w:tr w:rsidR="007C269C" w:rsidRPr="0096260B" w14:paraId="60299716" w14:textId="77777777" w:rsidTr="007C269C">
        <w:trPr>
          <w:trHeight w:val="2355"/>
        </w:trPr>
        <w:tc>
          <w:tcPr>
            <w:tcW w:w="1792" w:type="dxa"/>
            <w:tcBorders>
              <w:top w:val="single" w:sz="8" w:space="0" w:color="FFFFFF"/>
              <w:left w:val="single" w:sz="8" w:space="0" w:color="FFFFFF"/>
              <w:bottom w:val="single" w:sz="8" w:space="0" w:color="FFFFFF"/>
              <w:right w:val="single" w:sz="8" w:space="0" w:color="FFFFFF"/>
            </w:tcBorders>
            <w:shd w:val="clear" w:color="auto" w:fill="4472C4"/>
            <w:tcMar>
              <w:top w:w="8" w:type="dxa"/>
              <w:left w:w="8" w:type="dxa"/>
              <w:bottom w:w="8" w:type="dxa"/>
              <w:right w:w="8" w:type="dxa"/>
            </w:tcMar>
            <w:hideMark/>
          </w:tcPr>
          <w:p w14:paraId="77263A56" w14:textId="77777777" w:rsidR="0096260B" w:rsidRPr="0096260B" w:rsidRDefault="0096260B" w:rsidP="0096260B">
            <w:r w:rsidRPr="0096260B">
              <w:rPr>
                <w:b/>
                <w:bCs/>
              </w:rPr>
              <w:t>Premium file shares</w:t>
            </w:r>
            <w:r w:rsidRPr="0096260B">
              <w:rPr>
                <w:b/>
                <w:bCs/>
                <w:vertAlign w:val="superscript"/>
              </w:rPr>
              <w:t>3</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8" w:type="dxa"/>
              <w:left w:w="8" w:type="dxa"/>
              <w:bottom w:w="8" w:type="dxa"/>
              <w:right w:w="8" w:type="dxa"/>
            </w:tcMar>
            <w:hideMark/>
          </w:tcPr>
          <w:p w14:paraId="1098DC7F" w14:textId="77777777" w:rsidR="0096260B" w:rsidRPr="0096260B" w:rsidRDefault="0096260B" w:rsidP="0096260B">
            <w:r w:rsidRPr="0096260B">
              <w:t>Azure Files</w:t>
            </w:r>
          </w:p>
        </w:tc>
        <w:tc>
          <w:tcPr>
            <w:tcW w:w="1890" w:type="dxa"/>
            <w:tcBorders>
              <w:top w:val="single" w:sz="8" w:space="0" w:color="FFFFFF"/>
              <w:left w:val="single" w:sz="8" w:space="0" w:color="FFFFFF"/>
              <w:bottom w:val="single" w:sz="8" w:space="0" w:color="FFFFFF"/>
              <w:right w:val="single" w:sz="8" w:space="0" w:color="FFFFFF"/>
            </w:tcBorders>
            <w:shd w:val="clear" w:color="auto" w:fill="E9EBF5"/>
            <w:tcMar>
              <w:top w:w="8" w:type="dxa"/>
              <w:left w:w="8" w:type="dxa"/>
              <w:bottom w:w="8" w:type="dxa"/>
              <w:right w:w="8" w:type="dxa"/>
            </w:tcMar>
            <w:hideMark/>
          </w:tcPr>
          <w:p w14:paraId="534FB34D" w14:textId="77777777" w:rsidR="0096260B" w:rsidRPr="0096260B" w:rsidRDefault="0096260B" w:rsidP="0096260B">
            <w:r w:rsidRPr="0096260B">
              <w:t>LRS</w:t>
            </w:r>
            <w:r w:rsidRPr="0096260B">
              <w:br/>
            </w:r>
            <w:r w:rsidRPr="0096260B">
              <w:br/>
              <w:t>ZRS</w:t>
            </w:r>
            <w:r w:rsidRPr="0096260B">
              <w:rPr>
                <w:vertAlign w:val="superscript"/>
              </w:rPr>
              <w:t>2</w:t>
            </w:r>
          </w:p>
        </w:tc>
        <w:tc>
          <w:tcPr>
            <w:tcW w:w="1890" w:type="dxa"/>
            <w:tcBorders>
              <w:top w:val="single" w:sz="8" w:space="0" w:color="FFFFFF"/>
              <w:left w:val="single" w:sz="8" w:space="0" w:color="FFFFFF"/>
              <w:bottom w:val="single" w:sz="8" w:space="0" w:color="FFFFFF"/>
              <w:right w:val="single" w:sz="8" w:space="0" w:color="FFFFFF"/>
            </w:tcBorders>
            <w:shd w:val="clear" w:color="auto" w:fill="E9EBF5"/>
            <w:tcMar>
              <w:top w:w="8" w:type="dxa"/>
              <w:left w:w="8" w:type="dxa"/>
              <w:bottom w:w="8" w:type="dxa"/>
              <w:right w:w="8" w:type="dxa"/>
            </w:tcMar>
            <w:hideMark/>
          </w:tcPr>
          <w:p w14:paraId="339E6F89" w14:textId="77777777" w:rsidR="0096260B" w:rsidRPr="0096260B" w:rsidRDefault="0096260B" w:rsidP="0096260B">
            <w:r w:rsidRPr="0096260B">
              <w:t>Premium storage account type for file shares only. Recommended for enterprise or high-performance scale applications. Use this account type if you want a storage account that supports both SMB and NFS file shares.</w:t>
            </w:r>
          </w:p>
        </w:tc>
      </w:tr>
      <w:tr w:rsidR="007C269C" w:rsidRPr="0096260B" w14:paraId="753FC049" w14:textId="77777777" w:rsidTr="007C269C">
        <w:trPr>
          <w:trHeight w:val="1183"/>
        </w:trPr>
        <w:tc>
          <w:tcPr>
            <w:tcW w:w="1792" w:type="dxa"/>
            <w:tcBorders>
              <w:top w:val="single" w:sz="8" w:space="0" w:color="FFFFFF"/>
              <w:left w:val="single" w:sz="8" w:space="0" w:color="FFFFFF"/>
              <w:bottom w:val="single" w:sz="8" w:space="0" w:color="FFFFFF"/>
              <w:right w:val="single" w:sz="8" w:space="0" w:color="FFFFFF"/>
            </w:tcBorders>
            <w:shd w:val="clear" w:color="auto" w:fill="4472C4"/>
            <w:tcMar>
              <w:top w:w="8" w:type="dxa"/>
              <w:left w:w="8" w:type="dxa"/>
              <w:bottom w:w="8" w:type="dxa"/>
              <w:right w:w="8" w:type="dxa"/>
            </w:tcMar>
            <w:hideMark/>
          </w:tcPr>
          <w:p w14:paraId="3696094D" w14:textId="77777777" w:rsidR="0096260B" w:rsidRPr="0096260B" w:rsidRDefault="0096260B" w:rsidP="0096260B">
            <w:r w:rsidRPr="0096260B">
              <w:rPr>
                <w:b/>
                <w:bCs/>
              </w:rPr>
              <w:t>Premium page blobs</w:t>
            </w:r>
            <w:r w:rsidRPr="0096260B">
              <w:rPr>
                <w:b/>
                <w:bCs/>
                <w:vertAlign w:val="superscript"/>
              </w:rPr>
              <w:t>3</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34EF8E70" w14:textId="77777777" w:rsidR="0096260B" w:rsidRPr="0096260B" w:rsidRDefault="0096260B" w:rsidP="0096260B">
            <w:r w:rsidRPr="0096260B">
              <w:t>Page blobs only</w:t>
            </w:r>
          </w:p>
        </w:tc>
        <w:tc>
          <w:tcPr>
            <w:tcW w:w="1890" w:type="dxa"/>
            <w:tcBorders>
              <w:top w:val="single" w:sz="8"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653832C1" w14:textId="77777777" w:rsidR="0096260B" w:rsidRPr="0096260B" w:rsidRDefault="0096260B" w:rsidP="0096260B">
            <w:r w:rsidRPr="0096260B">
              <w:t>LRS</w:t>
            </w:r>
          </w:p>
        </w:tc>
        <w:tc>
          <w:tcPr>
            <w:tcW w:w="1890" w:type="dxa"/>
            <w:tcBorders>
              <w:top w:val="single" w:sz="8" w:space="0" w:color="FFFFFF"/>
              <w:left w:val="single" w:sz="8" w:space="0" w:color="FFFFFF"/>
              <w:bottom w:val="single" w:sz="8" w:space="0" w:color="FFFFFF"/>
              <w:right w:val="single" w:sz="8" w:space="0" w:color="FFFFFF"/>
            </w:tcBorders>
            <w:shd w:val="clear" w:color="auto" w:fill="CFD5EA"/>
            <w:tcMar>
              <w:top w:w="8" w:type="dxa"/>
              <w:left w:w="8" w:type="dxa"/>
              <w:bottom w:w="8" w:type="dxa"/>
              <w:right w:w="8" w:type="dxa"/>
            </w:tcMar>
            <w:hideMark/>
          </w:tcPr>
          <w:p w14:paraId="38000EAC" w14:textId="77777777" w:rsidR="0096260B" w:rsidRPr="0096260B" w:rsidRDefault="0096260B" w:rsidP="0096260B">
            <w:r w:rsidRPr="0096260B">
              <w:t>Premium storage account type for page blobs only. </w:t>
            </w:r>
            <w:hyperlink r:id="rId5" w:history="1">
              <w:r w:rsidRPr="0096260B">
                <w:rPr>
                  <w:rStyle w:val="Hyperlink"/>
                </w:rPr>
                <w:t>Learn more about page blobs and sample use cases.</w:t>
              </w:r>
            </w:hyperlink>
          </w:p>
        </w:tc>
      </w:tr>
    </w:tbl>
    <w:p w14:paraId="540D18A0" w14:textId="7EA66D99" w:rsidR="005B6A0E" w:rsidRDefault="00C47F97"/>
    <w:p w14:paraId="51C77420" w14:textId="6BBEDF0B" w:rsidR="00C47F97" w:rsidRDefault="00C47F97"/>
    <w:p w14:paraId="147F86A9" w14:textId="7B5DB6F7" w:rsidR="00C47F97" w:rsidRDefault="00C47F97"/>
    <w:tbl>
      <w:tblPr>
        <w:tblW w:w="9262" w:type="dxa"/>
        <w:tblCellMar>
          <w:left w:w="0" w:type="dxa"/>
          <w:right w:w="0" w:type="dxa"/>
        </w:tblCellMar>
        <w:tblLook w:val="04A0" w:firstRow="1" w:lastRow="0" w:firstColumn="1" w:lastColumn="0" w:noHBand="0" w:noVBand="1"/>
      </w:tblPr>
      <w:tblGrid>
        <w:gridCol w:w="1252"/>
        <w:gridCol w:w="2340"/>
        <w:gridCol w:w="1080"/>
        <w:gridCol w:w="4590"/>
      </w:tblGrid>
      <w:tr w:rsidR="00C47F97" w:rsidRPr="00C47F97" w14:paraId="1EEE3C8F" w14:textId="77777777" w:rsidTr="00C47F97">
        <w:trPr>
          <w:trHeight w:val="88"/>
        </w:trPr>
        <w:tc>
          <w:tcPr>
            <w:tcW w:w="9262" w:type="dxa"/>
            <w:gridSpan w:val="4"/>
            <w:tcBorders>
              <w:top w:val="single" w:sz="8" w:space="0" w:color="FFFFFF"/>
              <w:left w:val="single" w:sz="8" w:space="0" w:color="FFFFFF"/>
              <w:bottom w:val="single" w:sz="24" w:space="0" w:color="FFFFFF"/>
              <w:right w:val="single" w:sz="8" w:space="0" w:color="FFFFFF"/>
            </w:tcBorders>
            <w:shd w:val="clear" w:color="auto" w:fill="4472C4"/>
            <w:tcMar>
              <w:top w:w="3" w:type="dxa"/>
              <w:left w:w="3" w:type="dxa"/>
              <w:bottom w:w="3" w:type="dxa"/>
              <w:right w:w="3" w:type="dxa"/>
            </w:tcMar>
            <w:vAlign w:val="center"/>
            <w:hideMark/>
          </w:tcPr>
          <w:p w14:paraId="782AD9B0" w14:textId="77777777" w:rsidR="00C47F97" w:rsidRPr="00C47F97" w:rsidRDefault="00C47F97" w:rsidP="00C47F97">
            <w:r w:rsidRPr="00C47F97">
              <w:rPr>
                <w:b/>
                <w:bCs/>
              </w:rPr>
              <w:t>DATA PROTECTION TAB</w:t>
            </w:r>
          </w:p>
        </w:tc>
      </w:tr>
      <w:tr w:rsidR="00C47F97" w:rsidRPr="00C47F97" w14:paraId="3E3205AE" w14:textId="77777777" w:rsidTr="00C47F97">
        <w:trPr>
          <w:trHeight w:val="88"/>
        </w:trPr>
        <w:tc>
          <w:tcPr>
            <w:tcW w:w="1252" w:type="dxa"/>
            <w:tcBorders>
              <w:top w:val="single" w:sz="24" w:space="0" w:color="FFFFFF"/>
              <w:left w:val="single" w:sz="8" w:space="0" w:color="FFFFFF"/>
              <w:bottom w:val="single" w:sz="8" w:space="0" w:color="FFFFFF"/>
              <w:right w:val="single" w:sz="8" w:space="0" w:color="FFFFFF"/>
            </w:tcBorders>
            <w:shd w:val="clear" w:color="auto" w:fill="4472C4"/>
            <w:tcMar>
              <w:top w:w="3" w:type="dxa"/>
              <w:left w:w="3" w:type="dxa"/>
              <w:bottom w:w="3" w:type="dxa"/>
              <w:right w:w="3" w:type="dxa"/>
            </w:tcMar>
            <w:hideMark/>
          </w:tcPr>
          <w:p w14:paraId="34960B19" w14:textId="77777777" w:rsidR="00C47F97" w:rsidRPr="00C47F97" w:rsidRDefault="00C47F97" w:rsidP="00C47F97">
            <w:r w:rsidRPr="00C47F97">
              <w:rPr>
                <w:b/>
                <w:bCs/>
              </w:rPr>
              <w:t>Section</w:t>
            </w:r>
          </w:p>
        </w:tc>
        <w:tc>
          <w:tcPr>
            <w:tcW w:w="2340" w:type="dxa"/>
            <w:tcBorders>
              <w:top w:val="single" w:sz="24"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7B348D0E" w14:textId="77777777" w:rsidR="00C47F97" w:rsidRPr="00C47F97" w:rsidRDefault="00C47F97" w:rsidP="00C47F97">
            <w:r w:rsidRPr="00C47F97">
              <w:t>Field</w:t>
            </w:r>
          </w:p>
        </w:tc>
        <w:tc>
          <w:tcPr>
            <w:tcW w:w="1080" w:type="dxa"/>
            <w:tcBorders>
              <w:top w:val="single" w:sz="24"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2A143D29" w14:textId="77777777" w:rsidR="00C47F97" w:rsidRPr="00C47F97" w:rsidRDefault="00C47F97" w:rsidP="00C47F97">
            <w:r w:rsidRPr="00C47F97">
              <w:t>Required or optional</w:t>
            </w:r>
          </w:p>
        </w:tc>
        <w:tc>
          <w:tcPr>
            <w:tcW w:w="4590" w:type="dxa"/>
            <w:tcBorders>
              <w:top w:val="single" w:sz="24"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657B1719" w14:textId="77777777" w:rsidR="00C47F97" w:rsidRPr="00C47F97" w:rsidRDefault="00C47F97" w:rsidP="00C47F97">
            <w:r w:rsidRPr="00C47F97">
              <w:t>Description</w:t>
            </w:r>
          </w:p>
        </w:tc>
      </w:tr>
      <w:tr w:rsidR="00C47F97" w:rsidRPr="00C47F97" w14:paraId="5DD00750" w14:textId="77777777" w:rsidTr="00C47F97">
        <w:trPr>
          <w:trHeight w:val="1349"/>
        </w:trPr>
        <w:tc>
          <w:tcPr>
            <w:tcW w:w="1252" w:type="dxa"/>
            <w:tcBorders>
              <w:top w:val="single" w:sz="8" w:space="0" w:color="FFFFFF"/>
              <w:left w:val="single" w:sz="8" w:space="0" w:color="FFFFFF"/>
              <w:bottom w:val="single" w:sz="8" w:space="0" w:color="FFFFFF"/>
              <w:right w:val="single" w:sz="8" w:space="0" w:color="FFFFFF"/>
            </w:tcBorders>
            <w:shd w:val="clear" w:color="auto" w:fill="4472C4"/>
            <w:tcMar>
              <w:top w:w="3" w:type="dxa"/>
              <w:left w:w="3" w:type="dxa"/>
              <w:bottom w:w="3" w:type="dxa"/>
              <w:right w:w="3" w:type="dxa"/>
            </w:tcMar>
            <w:hideMark/>
          </w:tcPr>
          <w:p w14:paraId="2010B7C2" w14:textId="77777777" w:rsidR="00C47F97" w:rsidRPr="00C47F97" w:rsidRDefault="00C47F97" w:rsidP="00C47F97">
            <w:r w:rsidRPr="00C47F97">
              <w:rPr>
                <w:b/>
                <w:bCs/>
              </w:rPr>
              <w:t>Recovery</w:t>
            </w:r>
          </w:p>
        </w:tc>
        <w:tc>
          <w:tcPr>
            <w:tcW w:w="234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3C665542" w14:textId="77777777" w:rsidR="00C47F97" w:rsidRPr="00C47F97" w:rsidRDefault="00C47F97" w:rsidP="00C47F97">
            <w:r w:rsidRPr="00C47F97">
              <w:t>Enable point-in-time restore for containers</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3CE19F44" w14:textId="77777777" w:rsidR="00C47F97" w:rsidRPr="00C47F97" w:rsidRDefault="00C47F97" w:rsidP="00C47F97">
            <w:r w:rsidRPr="00C47F97">
              <w:t>Optional</w:t>
            </w:r>
          </w:p>
        </w:tc>
        <w:tc>
          <w:tcPr>
            <w:tcW w:w="459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36A7C8D3" w14:textId="77777777" w:rsidR="00C47F97" w:rsidRPr="00C47F97" w:rsidRDefault="00C47F97" w:rsidP="00C47F97">
            <w:r w:rsidRPr="00C47F97">
              <w:t>Point-in-time restore provides protection against accidental deletion or corruption by enabling you to restore block blob data to an earlier state. For more information, see </w:t>
            </w:r>
            <w:hyperlink r:id="rId6" w:history="1">
              <w:r w:rsidRPr="00C47F97">
                <w:rPr>
                  <w:rStyle w:val="Hyperlink"/>
                </w:rPr>
                <w:t>Point-in-time restore for block blobs</w:t>
              </w:r>
            </w:hyperlink>
            <w:r w:rsidRPr="00C47F97">
              <w:t>.</w:t>
            </w:r>
            <w:r w:rsidRPr="00C47F97">
              <w:br/>
            </w:r>
            <w:r w:rsidRPr="00C47F97">
              <w:br/>
              <w:t>Enabling point-in-time restore also enables blob versioning, blob soft delete, and blob change feed. These prerequisite features may have a cost impact. For more information, see </w:t>
            </w:r>
            <w:hyperlink r:id="rId7" w:history="1">
              <w:r w:rsidRPr="00C47F97">
                <w:rPr>
                  <w:rStyle w:val="Hyperlink"/>
                </w:rPr>
                <w:t>Pricing and billing</w:t>
              </w:r>
            </w:hyperlink>
            <w:r w:rsidRPr="00C47F97">
              <w:t> for point-in-time restore.</w:t>
            </w:r>
          </w:p>
        </w:tc>
      </w:tr>
      <w:tr w:rsidR="00C47F97" w:rsidRPr="00C47F97" w14:paraId="1C52C117" w14:textId="77777777" w:rsidTr="00C47F97">
        <w:trPr>
          <w:trHeight w:val="1490"/>
        </w:trPr>
        <w:tc>
          <w:tcPr>
            <w:tcW w:w="1252" w:type="dxa"/>
            <w:tcBorders>
              <w:top w:val="single" w:sz="8" w:space="0" w:color="FFFFFF"/>
              <w:left w:val="single" w:sz="8" w:space="0" w:color="FFFFFF"/>
              <w:bottom w:val="single" w:sz="8" w:space="0" w:color="FFFFFF"/>
              <w:right w:val="single" w:sz="8" w:space="0" w:color="FFFFFF"/>
            </w:tcBorders>
            <w:shd w:val="clear" w:color="auto" w:fill="4472C4"/>
            <w:tcMar>
              <w:top w:w="3" w:type="dxa"/>
              <w:left w:w="3" w:type="dxa"/>
              <w:bottom w:w="3" w:type="dxa"/>
              <w:right w:w="3" w:type="dxa"/>
            </w:tcMar>
            <w:hideMark/>
          </w:tcPr>
          <w:p w14:paraId="10B57EE7" w14:textId="77777777" w:rsidR="00C47F97" w:rsidRPr="00C47F97" w:rsidRDefault="00C47F97" w:rsidP="00C47F97">
            <w:r w:rsidRPr="00C47F97">
              <w:rPr>
                <w:b/>
                <w:bCs/>
              </w:rPr>
              <w:t>Recovery</w:t>
            </w:r>
          </w:p>
        </w:tc>
        <w:tc>
          <w:tcPr>
            <w:tcW w:w="234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1DD21A8B" w14:textId="77777777" w:rsidR="00C47F97" w:rsidRPr="00C47F97" w:rsidRDefault="00C47F97" w:rsidP="00C47F97">
            <w:r w:rsidRPr="00C47F97">
              <w:t>Enable soft delete for blobs</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205109EF" w14:textId="77777777" w:rsidR="00C47F97" w:rsidRPr="00C47F97" w:rsidRDefault="00C47F97" w:rsidP="00C47F97">
            <w:r w:rsidRPr="00C47F97">
              <w:t>Optional</w:t>
            </w:r>
          </w:p>
        </w:tc>
        <w:tc>
          <w:tcPr>
            <w:tcW w:w="459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5FF6DB95" w14:textId="77777777" w:rsidR="00C47F97" w:rsidRPr="00C47F97" w:rsidRDefault="00C47F97" w:rsidP="00C47F97">
            <w:r w:rsidRPr="00C47F97">
              <w:t>Blob soft delete protects an individual blob, snapshot, or version from accidental deletes or overwrites by maintaining the deleted data in the system for a specified retention period. During the retention period, you can restore a soft-deleted object to its state at the time it was deleted. For more information, see </w:t>
            </w:r>
            <w:hyperlink r:id="rId8" w:history="1">
              <w:r w:rsidRPr="00C47F97">
                <w:rPr>
                  <w:rStyle w:val="Hyperlink"/>
                </w:rPr>
                <w:t>Soft delete for blobs</w:t>
              </w:r>
            </w:hyperlink>
            <w:r w:rsidRPr="00C47F97">
              <w:t>.</w:t>
            </w:r>
            <w:r w:rsidRPr="00C47F97">
              <w:br/>
            </w:r>
            <w:r w:rsidRPr="00C47F97">
              <w:br/>
              <w:t>Microsoft recommends enabling blob soft delete for your storage accounts and setting a minimum retention period of seven days.</w:t>
            </w:r>
          </w:p>
        </w:tc>
      </w:tr>
      <w:tr w:rsidR="00C47F97" w:rsidRPr="00C47F97" w14:paraId="4F436674" w14:textId="77777777" w:rsidTr="00C47F97">
        <w:trPr>
          <w:trHeight w:val="1490"/>
        </w:trPr>
        <w:tc>
          <w:tcPr>
            <w:tcW w:w="1252" w:type="dxa"/>
            <w:tcBorders>
              <w:top w:val="single" w:sz="8" w:space="0" w:color="FFFFFF"/>
              <w:left w:val="single" w:sz="8" w:space="0" w:color="FFFFFF"/>
              <w:bottom w:val="single" w:sz="8" w:space="0" w:color="FFFFFF"/>
              <w:right w:val="single" w:sz="8" w:space="0" w:color="FFFFFF"/>
            </w:tcBorders>
            <w:shd w:val="clear" w:color="auto" w:fill="4472C4"/>
            <w:tcMar>
              <w:top w:w="3" w:type="dxa"/>
              <w:left w:w="3" w:type="dxa"/>
              <w:bottom w:w="3" w:type="dxa"/>
              <w:right w:w="3" w:type="dxa"/>
            </w:tcMar>
            <w:hideMark/>
          </w:tcPr>
          <w:p w14:paraId="2DC660A7" w14:textId="77777777" w:rsidR="00C47F97" w:rsidRPr="00C47F97" w:rsidRDefault="00C47F97" w:rsidP="00C47F97">
            <w:r w:rsidRPr="00C47F97">
              <w:rPr>
                <w:b/>
                <w:bCs/>
              </w:rPr>
              <w:t>Recovery</w:t>
            </w:r>
          </w:p>
        </w:tc>
        <w:tc>
          <w:tcPr>
            <w:tcW w:w="234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2E76C395" w14:textId="77777777" w:rsidR="00C47F97" w:rsidRPr="00C47F97" w:rsidRDefault="00C47F97" w:rsidP="00C47F97">
            <w:r w:rsidRPr="00C47F97">
              <w:t>Enable soft delete for containers (preview)</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1D39E799" w14:textId="77777777" w:rsidR="00C47F97" w:rsidRPr="00C47F97" w:rsidRDefault="00C47F97" w:rsidP="00C47F97">
            <w:r w:rsidRPr="00C47F97">
              <w:t>Optional</w:t>
            </w:r>
          </w:p>
        </w:tc>
        <w:tc>
          <w:tcPr>
            <w:tcW w:w="459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5176A276" w14:textId="77777777" w:rsidR="00C47F97" w:rsidRPr="00C47F97" w:rsidRDefault="00C47F97" w:rsidP="00C47F97">
            <w:r w:rsidRPr="00C47F97">
              <w:t>Container soft delete protects a container and its contents from accidental deletes by maintaining the deleted data in the system for a specified retention period. During the retention period, you can restore a soft-deleted container to its state at the time it was deleted. For more information, see </w:t>
            </w:r>
            <w:hyperlink r:id="rId9" w:history="1">
              <w:r w:rsidRPr="00C47F97">
                <w:rPr>
                  <w:rStyle w:val="Hyperlink"/>
                </w:rPr>
                <w:t>Soft delete for containers (preview)</w:t>
              </w:r>
            </w:hyperlink>
            <w:r w:rsidRPr="00C47F97">
              <w:t>.</w:t>
            </w:r>
            <w:r w:rsidRPr="00C47F97">
              <w:br/>
            </w:r>
            <w:r w:rsidRPr="00C47F97">
              <w:br/>
              <w:t>Microsoft recommends enabling container soft delete for your storage accounts and setting a minimum retention period of seven days.</w:t>
            </w:r>
          </w:p>
        </w:tc>
      </w:tr>
      <w:tr w:rsidR="00C47F97" w:rsidRPr="00C47F97" w14:paraId="6B3A53E4" w14:textId="77777777" w:rsidTr="00C47F97">
        <w:trPr>
          <w:trHeight w:val="1561"/>
        </w:trPr>
        <w:tc>
          <w:tcPr>
            <w:tcW w:w="1252" w:type="dxa"/>
            <w:tcBorders>
              <w:top w:val="single" w:sz="8" w:space="0" w:color="FFFFFF"/>
              <w:left w:val="single" w:sz="8" w:space="0" w:color="FFFFFF"/>
              <w:bottom w:val="single" w:sz="8" w:space="0" w:color="FFFFFF"/>
              <w:right w:val="single" w:sz="8" w:space="0" w:color="FFFFFF"/>
            </w:tcBorders>
            <w:shd w:val="clear" w:color="auto" w:fill="4472C4"/>
            <w:tcMar>
              <w:top w:w="3" w:type="dxa"/>
              <w:left w:w="3" w:type="dxa"/>
              <w:bottom w:w="3" w:type="dxa"/>
              <w:right w:w="3" w:type="dxa"/>
            </w:tcMar>
            <w:hideMark/>
          </w:tcPr>
          <w:p w14:paraId="67BE44F5" w14:textId="77777777" w:rsidR="00C47F97" w:rsidRPr="00C47F97" w:rsidRDefault="00C47F97" w:rsidP="00C47F97">
            <w:r w:rsidRPr="00C47F97">
              <w:rPr>
                <w:b/>
                <w:bCs/>
              </w:rPr>
              <w:t>Recovery</w:t>
            </w:r>
          </w:p>
        </w:tc>
        <w:tc>
          <w:tcPr>
            <w:tcW w:w="234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09685C86" w14:textId="77777777" w:rsidR="00C47F97" w:rsidRPr="00C47F97" w:rsidRDefault="00C47F97" w:rsidP="00C47F97">
            <w:r w:rsidRPr="00C47F97">
              <w:t>Enable soft delete for file shares</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03B23B47" w14:textId="77777777" w:rsidR="00C47F97" w:rsidRPr="00C47F97" w:rsidRDefault="00C47F97" w:rsidP="00C47F97">
            <w:r w:rsidRPr="00C47F97">
              <w:t>Optional</w:t>
            </w:r>
          </w:p>
        </w:tc>
        <w:tc>
          <w:tcPr>
            <w:tcW w:w="459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6798C7EA" w14:textId="77777777" w:rsidR="00C47F97" w:rsidRPr="00C47F97" w:rsidRDefault="00C47F97" w:rsidP="00C47F97">
            <w:r w:rsidRPr="00C47F97">
              <w:t>Soft delete for file shares protects a file share and its contents from accidental deletes by maintaining the deleted data in the system for a specified retention period. During the retention period, you can restore a soft-deleted file share to its state at the time it was deleted. For more information, see </w:t>
            </w:r>
            <w:hyperlink r:id="rId10" w:history="1">
              <w:r w:rsidRPr="00C47F97">
                <w:rPr>
                  <w:rStyle w:val="Hyperlink"/>
                </w:rPr>
                <w:t>Prevent accidental deletion of Azure file shares</w:t>
              </w:r>
            </w:hyperlink>
            <w:r w:rsidRPr="00C47F97">
              <w:t>.</w:t>
            </w:r>
            <w:r w:rsidRPr="00C47F97">
              <w:br/>
            </w:r>
            <w:r w:rsidRPr="00C47F97">
              <w:br/>
              <w:t>Microsoft recommends enabling soft delete for file shares for Azure Files workloads and setting a minimum retention period of seven days.</w:t>
            </w:r>
          </w:p>
        </w:tc>
      </w:tr>
      <w:tr w:rsidR="00C47F97" w:rsidRPr="00C47F97" w14:paraId="7FC44895" w14:textId="77777777" w:rsidTr="00C47F97">
        <w:trPr>
          <w:trHeight w:val="853"/>
        </w:trPr>
        <w:tc>
          <w:tcPr>
            <w:tcW w:w="1252" w:type="dxa"/>
            <w:tcBorders>
              <w:top w:val="single" w:sz="8" w:space="0" w:color="FFFFFF"/>
              <w:left w:val="single" w:sz="8" w:space="0" w:color="FFFFFF"/>
              <w:bottom w:val="single" w:sz="8" w:space="0" w:color="FFFFFF"/>
              <w:right w:val="single" w:sz="8" w:space="0" w:color="FFFFFF"/>
            </w:tcBorders>
            <w:shd w:val="clear" w:color="auto" w:fill="4472C4"/>
            <w:tcMar>
              <w:top w:w="3" w:type="dxa"/>
              <w:left w:w="3" w:type="dxa"/>
              <w:bottom w:w="3" w:type="dxa"/>
              <w:right w:w="3" w:type="dxa"/>
            </w:tcMar>
            <w:hideMark/>
          </w:tcPr>
          <w:p w14:paraId="37B143A5" w14:textId="77777777" w:rsidR="00C47F97" w:rsidRPr="00C47F97" w:rsidRDefault="00C47F97" w:rsidP="00C47F97">
            <w:r w:rsidRPr="00C47F97">
              <w:rPr>
                <w:b/>
                <w:bCs/>
              </w:rPr>
              <w:t>Tracking</w:t>
            </w:r>
          </w:p>
        </w:tc>
        <w:tc>
          <w:tcPr>
            <w:tcW w:w="234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267CE77C" w14:textId="77777777" w:rsidR="00C47F97" w:rsidRPr="00C47F97" w:rsidRDefault="00C47F97" w:rsidP="00C47F97">
            <w:r w:rsidRPr="00C47F97">
              <w:t>Enable versioning for blobs</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20C95205" w14:textId="77777777" w:rsidR="00C47F97" w:rsidRPr="00C47F97" w:rsidRDefault="00C47F97" w:rsidP="00C47F97">
            <w:r w:rsidRPr="00C47F97">
              <w:t>Optional</w:t>
            </w:r>
          </w:p>
        </w:tc>
        <w:tc>
          <w:tcPr>
            <w:tcW w:w="4590" w:type="dxa"/>
            <w:tcBorders>
              <w:top w:val="single" w:sz="8" w:space="0" w:color="FFFFFF"/>
              <w:left w:val="single" w:sz="8" w:space="0" w:color="FFFFFF"/>
              <w:bottom w:val="single" w:sz="8" w:space="0" w:color="FFFFFF"/>
              <w:right w:val="single" w:sz="8" w:space="0" w:color="FFFFFF"/>
            </w:tcBorders>
            <w:shd w:val="clear" w:color="auto" w:fill="E9EBF5"/>
            <w:tcMar>
              <w:top w:w="3" w:type="dxa"/>
              <w:left w:w="3" w:type="dxa"/>
              <w:bottom w:w="3" w:type="dxa"/>
              <w:right w:w="3" w:type="dxa"/>
            </w:tcMar>
            <w:hideMark/>
          </w:tcPr>
          <w:p w14:paraId="665C58B7" w14:textId="77777777" w:rsidR="00C47F97" w:rsidRPr="00C47F97" w:rsidRDefault="00C47F97" w:rsidP="00C47F97">
            <w:r w:rsidRPr="00C47F97">
              <w:t>Blob versioning automatically saves the state of a blob in a previous version when the blob is overwritten. For more information, see </w:t>
            </w:r>
            <w:hyperlink r:id="rId11" w:history="1">
              <w:r w:rsidRPr="00C47F97">
                <w:rPr>
                  <w:rStyle w:val="Hyperlink"/>
                </w:rPr>
                <w:t>Blob versioning</w:t>
              </w:r>
            </w:hyperlink>
            <w:r w:rsidRPr="00C47F97">
              <w:t>.</w:t>
            </w:r>
            <w:r w:rsidRPr="00C47F97">
              <w:br/>
            </w:r>
            <w:r w:rsidRPr="00C47F97">
              <w:br/>
              <w:t>Microsoft recommends enabling blob versioning for optimal data protection for the storage account.</w:t>
            </w:r>
          </w:p>
        </w:tc>
      </w:tr>
      <w:tr w:rsidR="00C47F97" w:rsidRPr="00C47F97" w14:paraId="338FFD4E" w14:textId="77777777" w:rsidTr="00C47F97">
        <w:trPr>
          <w:trHeight w:val="570"/>
        </w:trPr>
        <w:tc>
          <w:tcPr>
            <w:tcW w:w="1252" w:type="dxa"/>
            <w:tcBorders>
              <w:top w:val="single" w:sz="8" w:space="0" w:color="FFFFFF"/>
              <w:left w:val="single" w:sz="8" w:space="0" w:color="FFFFFF"/>
              <w:bottom w:val="single" w:sz="8" w:space="0" w:color="FFFFFF"/>
              <w:right w:val="single" w:sz="8" w:space="0" w:color="FFFFFF"/>
            </w:tcBorders>
            <w:shd w:val="clear" w:color="auto" w:fill="4472C4"/>
            <w:tcMar>
              <w:top w:w="3" w:type="dxa"/>
              <w:left w:w="3" w:type="dxa"/>
              <w:bottom w:w="3" w:type="dxa"/>
              <w:right w:w="3" w:type="dxa"/>
            </w:tcMar>
            <w:hideMark/>
          </w:tcPr>
          <w:p w14:paraId="28216FBF" w14:textId="77777777" w:rsidR="00C47F97" w:rsidRPr="00C47F97" w:rsidRDefault="00C47F97" w:rsidP="00C47F97">
            <w:r w:rsidRPr="00C47F97">
              <w:rPr>
                <w:b/>
                <w:bCs/>
              </w:rPr>
              <w:t>Tracking</w:t>
            </w:r>
          </w:p>
        </w:tc>
        <w:tc>
          <w:tcPr>
            <w:tcW w:w="234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25C8B05B" w14:textId="77777777" w:rsidR="00C47F97" w:rsidRPr="00C47F97" w:rsidRDefault="00C47F97" w:rsidP="00C47F97">
            <w:r w:rsidRPr="00C47F97">
              <w:t>Enable blob change feed</w:t>
            </w:r>
          </w:p>
        </w:tc>
        <w:tc>
          <w:tcPr>
            <w:tcW w:w="108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1F224EDB" w14:textId="77777777" w:rsidR="00C47F97" w:rsidRPr="00C47F97" w:rsidRDefault="00C47F97" w:rsidP="00C47F97">
            <w:r w:rsidRPr="00C47F97">
              <w:t>Optional</w:t>
            </w:r>
          </w:p>
        </w:tc>
        <w:tc>
          <w:tcPr>
            <w:tcW w:w="4590" w:type="dxa"/>
            <w:tcBorders>
              <w:top w:val="single" w:sz="8" w:space="0" w:color="FFFFFF"/>
              <w:left w:val="single" w:sz="8" w:space="0" w:color="FFFFFF"/>
              <w:bottom w:val="single" w:sz="8" w:space="0" w:color="FFFFFF"/>
              <w:right w:val="single" w:sz="8" w:space="0" w:color="FFFFFF"/>
            </w:tcBorders>
            <w:shd w:val="clear" w:color="auto" w:fill="CFD5EA"/>
            <w:tcMar>
              <w:top w:w="3" w:type="dxa"/>
              <w:left w:w="3" w:type="dxa"/>
              <w:bottom w:w="3" w:type="dxa"/>
              <w:right w:w="3" w:type="dxa"/>
            </w:tcMar>
            <w:hideMark/>
          </w:tcPr>
          <w:p w14:paraId="0237D917" w14:textId="77777777" w:rsidR="00C47F97" w:rsidRPr="00C47F97" w:rsidRDefault="00C47F97" w:rsidP="00C47F97">
            <w:r w:rsidRPr="00C47F97">
              <w:t>The blob change feed provides transaction logs of all changes to all blobs in your storage account, as well as to their metadata. For more information, see </w:t>
            </w:r>
            <w:hyperlink r:id="rId12" w:history="1">
              <w:r w:rsidRPr="00C47F97">
                <w:rPr>
                  <w:rStyle w:val="Hyperlink"/>
                </w:rPr>
                <w:t>Change feed support in Azure Blob Storage</w:t>
              </w:r>
            </w:hyperlink>
            <w:r w:rsidRPr="00C47F97">
              <w:t>.</w:t>
            </w:r>
          </w:p>
        </w:tc>
      </w:tr>
    </w:tbl>
    <w:p w14:paraId="55411D10" w14:textId="3E04C80D" w:rsidR="00C47F97" w:rsidRDefault="00C47F97"/>
    <w:p w14:paraId="587B8160" w14:textId="77777777" w:rsidR="00C47F97" w:rsidRDefault="00C47F97"/>
    <w:sectPr w:rsidR="00C4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3B"/>
    <w:rsid w:val="000A393B"/>
    <w:rsid w:val="00663951"/>
    <w:rsid w:val="00687E08"/>
    <w:rsid w:val="007C269C"/>
    <w:rsid w:val="0096260B"/>
    <w:rsid w:val="00C47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23B9"/>
  <w15:chartTrackingRefBased/>
  <w15:docId w15:val="{8269E9D4-3EE7-4288-861D-6262DFD6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60B"/>
    <w:rPr>
      <w:color w:val="0563C1" w:themeColor="hyperlink"/>
      <w:u w:val="single"/>
    </w:rPr>
  </w:style>
  <w:style w:type="character" w:styleId="UnresolvedMention">
    <w:name w:val="Unresolved Mention"/>
    <w:basedOn w:val="DefaultParagraphFont"/>
    <w:uiPriority w:val="99"/>
    <w:semiHidden/>
    <w:unhideWhenUsed/>
    <w:rsid w:val="00962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0157">
      <w:bodyDiv w:val="1"/>
      <w:marLeft w:val="0"/>
      <w:marRight w:val="0"/>
      <w:marTop w:val="0"/>
      <w:marBottom w:val="0"/>
      <w:divBdr>
        <w:top w:val="none" w:sz="0" w:space="0" w:color="auto"/>
        <w:left w:val="none" w:sz="0" w:space="0" w:color="auto"/>
        <w:bottom w:val="none" w:sz="0" w:space="0" w:color="auto"/>
        <w:right w:val="none" w:sz="0" w:space="0" w:color="auto"/>
      </w:divBdr>
    </w:div>
    <w:div w:id="14811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blobs/soft-delete-blob-overvie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azure/storage/blobs/point-in-time-restore-overview" TargetMode="External"/><Relationship Id="rId12" Type="http://schemas.openxmlformats.org/officeDocument/2006/relationships/hyperlink" Target="https://docs.microsoft.com/en-us/azure/storage/blobs/storage-blob-change-fe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storage/blobs/point-in-time-restore-overview" TargetMode="External"/><Relationship Id="rId11" Type="http://schemas.openxmlformats.org/officeDocument/2006/relationships/hyperlink" Target="https://docs.microsoft.com/en-us/azure/storage/blobs/versioning-overview" TargetMode="External"/><Relationship Id="rId5" Type="http://schemas.openxmlformats.org/officeDocument/2006/relationships/hyperlink" Target="https://docs.microsoft.com/en-us/azure/storage/blobs/storage-blob-pageblob-overview" TargetMode="External"/><Relationship Id="rId10" Type="http://schemas.openxmlformats.org/officeDocument/2006/relationships/hyperlink" Target="https://docs.microsoft.com/en-us/azure/storage/files/storage-files-prevent-file-share-deletion" TargetMode="External"/><Relationship Id="rId4" Type="http://schemas.openxmlformats.org/officeDocument/2006/relationships/hyperlink" Target="https://docs.microsoft.com/en-us/azure/storage/blobs/storage-blob-performance-tiers" TargetMode="External"/><Relationship Id="rId9" Type="http://schemas.openxmlformats.org/officeDocument/2006/relationships/hyperlink" Target="https://docs.microsoft.com/en-us/azure/storage/blobs/soft-delete-container-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1</cp:revision>
  <dcterms:created xsi:type="dcterms:W3CDTF">2021-08-19T04:12:00Z</dcterms:created>
  <dcterms:modified xsi:type="dcterms:W3CDTF">2021-08-19T06:37:00Z</dcterms:modified>
</cp:coreProperties>
</file>