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FIELD CHANGE NOTICE</w:t>
      </w:r>
    </w:p>
    <w:p>
      <w:r>
        <w:rPr>
          <w:color w:val="4A4A4A"/>
          <w:sz w:val="19"/>
        </w:rPr>
        <w:t>Notice FCN-2291     Issued 18 February 2026     Outside Plant Engineering     Status: IN FORCE</w:t>
      </w:r>
    </w:p>
    <w:p/>
    <w:tbl>
      <w:tblPr>
        <w:tblStyle w:val="TableGrid"/>
        <w:tblW w:type="auto" w:w="0"/>
        <w:tblLook w:firstColumn="1" w:firstRow="1" w:lastColumn="0" w:lastRow="0" w:noHBand="0" w:noVBand="1" w:val="04A0"/>
      </w:tblPr>
      <w:tblGrid>
        <w:gridCol w:w="4680"/>
        <w:gridCol w:w="4680"/>
      </w:tblGrid>
      <w:tr>
        <w:tc>
          <w:tcPr>
            <w:tcW w:type="dxa" w:w="4680"/>
          </w:tcPr>
          <w:p>
            <w:r>
              <w:rPr>
                <w:b/>
              </w:rPr>
              <w:t>Hub</w:t>
            </w:r>
          </w:p>
        </w:tc>
        <w:tc>
          <w:tcPr>
            <w:tcW w:type="dxa" w:w="4680"/>
          </w:tcPr>
          <w:p>
            <w:r>
              <w:t>FDH-14, Ardwick Exchange (ARD-01)</w:t>
            </w:r>
          </w:p>
        </w:tc>
      </w:tr>
      <w:tr>
        <w:tc>
          <w:tcPr>
            <w:tcW w:type="dxa" w:w="4680"/>
          </w:tcPr>
          <w:p>
            <w:r>
              <w:rPr>
                <w:b/>
              </w:rPr>
              <w:t>Segment affected</w:t>
            </w:r>
          </w:p>
        </w:tc>
        <w:tc>
          <w:tcPr>
            <w:tcW w:type="dxa" w:w="4680"/>
          </w:tcPr>
          <w:p>
            <w:r>
              <w:t>Distribution Leg C, FDH-14 to MST-C</w:t>
            </w:r>
          </w:p>
        </w:tc>
      </w:tr>
      <w:tr>
        <w:tc>
          <w:tcPr>
            <w:tcW w:type="dxa" w:w="4680"/>
          </w:tcPr>
          <w:p>
            <w:r>
              <w:rPr>
                <w:b/>
              </w:rPr>
              <w:t>Segments unaffected</w:t>
            </w:r>
          </w:p>
        </w:tc>
        <w:tc>
          <w:tcPr>
            <w:tcW w:type="dxa" w:w="4680"/>
          </w:tcPr>
          <w:p>
            <w:r>
              <w:t>Feeder; Distribution Legs A, B, D and E; all subscriber drops</w:t>
            </w:r>
          </w:p>
        </w:tc>
      </w:tr>
      <w:tr>
        <w:tc>
          <w:tcPr>
            <w:tcW w:type="dxa" w:w="4680"/>
          </w:tcPr>
          <w:p>
            <w:r>
              <w:rPr>
                <w:b/>
              </w:rPr>
              <w:t>Effect</w:t>
            </w:r>
          </w:p>
        </w:tc>
        <w:tc>
          <w:tcPr>
            <w:tcW w:type="dxa" w:w="4680"/>
          </w:tcPr>
          <w:p>
            <w:r>
              <w:t>Supersedes the as-built record for the affected segment only</w:t>
            </w:r>
          </w:p>
        </w:tc>
      </w:tr>
    </w:tbl>
    <w:p/>
    <w:p>
      <w:r>
        <w:rPr>
          <w:b/>
        </w:rPr>
        <w:t>1. Reason for change</w:t>
      </w:r>
    </w:p>
    <w:p>
      <w:r>
        <w:t>Carriageway widening on Ardwick Lane required the Leg C duct to be abandoned between chainage 0.90 km and 3.70 km. Leg C has been rediverted along the Bank Street footway.</w:t>
      </w:r>
    </w:p>
    <w:p>
      <w:r>
        <w:rPr>
          <w:b/>
        </w:rPr>
        <w:t>2. Revised geometry</w:t>
      </w:r>
    </w:p>
    <w:p>
      <w:r>
        <w:t>The route length of Distribution Leg C, measured from the FDH-14 output port to the MST-C input connector, is now 8.20 km. The hub port feeding the leg is unchanged, as is the mated connector complement. The splice schedule for the leg is replaced in full by the schedule below; the splices recorded against this leg in the as-built record no longer exist.</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Splice</w:t>
            </w:r>
          </w:p>
        </w:tc>
        <w:tc>
          <w:tcPr>
            <w:tcW w:type="dxa" w:w="3120"/>
          </w:tcPr>
          <w:p>
            <w:r>
              <w:rPr>
                <w:b/>
              </w:rPr>
              <w:t>Distance from FDH-14 (km)</w:t>
            </w:r>
          </w:p>
        </w:tc>
        <w:tc>
          <w:tcPr>
            <w:tcW w:type="dxa" w:w="3120"/>
          </w:tcPr>
          <w:p>
            <w:r>
              <w:rPr>
                <w:b/>
              </w:rPr>
              <w:t>Splice type</w:t>
            </w:r>
          </w:p>
        </w:tc>
      </w:tr>
      <w:tr>
        <w:tc>
          <w:tcPr>
            <w:tcW w:type="dxa" w:w="3120"/>
          </w:tcPr>
          <w:p>
            <w:r>
              <w:t>1</w:t>
            </w:r>
          </w:p>
        </w:tc>
        <w:tc>
          <w:tcPr>
            <w:tcW w:type="dxa" w:w="3120"/>
          </w:tcPr>
          <w:p>
            <w:r>
              <w:t>1.40</w:t>
            </w:r>
          </w:p>
        </w:tc>
        <w:tc>
          <w:tcPr>
            <w:tcW w:type="dxa" w:w="3120"/>
          </w:tcPr>
          <w:p>
            <w:r>
              <w:t>Fusion</w:t>
            </w:r>
          </w:p>
        </w:tc>
      </w:tr>
      <w:tr>
        <w:tc>
          <w:tcPr>
            <w:tcW w:type="dxa" w:w="3120"/>
          </w:tcPr>
          <w:p>
            <w:r>
              <w:t>2</w:t>
            </w:r>
          </w:p>
        </w:tc>
        <w:tc>
          <w:tcPr>
            <w:tcW w:type="dxa" w:w="3120"/>
          </w:tcPr>
          <w:p>
            <w:r>
              <w:t>3.05</w:t>
            </w:r>
          </w:p>
        </w:tc>
        <w:tc>
          <w:tcPr>
            <w:tcW w:type="dxa" w:w="3120"/>
          </w:tcPr>
          <w:p>
            <w:r>
              <w:t>Mechanical</w:t>
            </w:r>
          </w:p>
        </w:tc>
      </w:tr>
      <w:tr>
        <w:tc>
          <w:tcPr>
            <w:tcW w:type="dxa" w:w="3120"/>
          </w:tcPr>
          <w:p>
            <w:r>
              <w:t>3</w:t>
            </w:r>
          </w:p>
        </w:tc>
        <w:tc>
          <w:tcPr>
            <w:tcW w:type="dxa" w:w="3120"/>
          </w:tcPr>
          <w:p>
            <w:r>
              <w:t>4.60</w:t>
            </w:r>
          </w:p>
        </w:tc>
        <w:tc>
          <w:tcPr>
            <w:tcW w:type="dxa" w:w="3120"/>
          </w:tcPr>
          <w:p>
            <w:r>
              <w:t>Fusion</w:t>
            </w:r>
          </w:p>
        </w:tc>
      </w:tr>
      <w:tr>
        <w:tc>
          <w:tcPr>
            <w:tcW w:type="dxa" w:w="3120"/>
          </w:tcPr>
          <w:p>
            <w:r>
              <w:t>4</w:t>
            </w:r>
          </w:p>
        </w:tc>
        <w:tc>
          <w:tcPr>
            <w:tcW w:type="dxa" w:w="3120"/>
          </w:tcPr>
          <w:p>
            <w:r>
              <w:t>6.15</w:t>
            </w:r>
          </w:p>
        </w:tc>
        <w:tc>
          <w:tcPr>
            <w:tcW w:type="dxa" w:w="3120"/>
          </w:tcPr>
          <w:p>
            <w:r>
              <w:t>Fusion</w:t>
            </w:r>
          </w:p>
        </w:tc>
      </w:tr>
      <w:tr>
        <w:tc>
          <w:tcPr>
            <w:tcW w:type="dxa" w:w="3120"/>
          </w:tcPr>
          <w:p>
            <w:r>
              <w:t>5</w:t>
            </w:r>
          </w:p>
        </w:tc>
        <w:tc>
          <w:tcPr>
            <w:tcW w:type="dxa" w:w="3120"/>
          </w:tcPr>
          <w:p>
            <w:r>
              <w:t>7.70</w:t>
            </w:r>
          </w:p>
        </w:tc>
        <w:tc>
          <w:tcPr>
            <w:tcW w:type="dxa" w:w="3120"/>
          </w:tcPr>
          <w:p>
            <w:r>
              <w:t>Fusion</w:t>
            </w:r>
          </w:p>
        </w:tc>
      </w:tr>
    </w:tbl>
    <w:p/>
    <w:p>
      <w:r>
        <w:rPr>
          <w:b/>
        </w:rPr>
        <w:t>3. Records</w:t>
      </w:r>
    </w:p>
    <w:p>
      <w:r>
        <w:t>The as-built drawing has not yet been reissued and continues to show the abandoned route for this leg. Until it is reissued, this notice is the controlling record for the affected segment. Any optical loss budget computed for subscribers on this leg must be built on the geometry and splice schedule set out above.</w:t>
      </w:r>
    </w:p>
    <w:p/>
    <w:p>
      <w:pPr>
        <w:jc w:val="left"/>
      </w:pPr>
      <w:r>
        <w:rPr>
          <w:color w:val="4A4A4A"/>
          <w:sz w:val="18"/>
        </w:rPr>
        <w:t>Outside Plant Engineering     Ardwick Exchange (ARD-01)</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