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2EAA" w14:textId="77777777" w:rsidR="00C7544E" w:rsidRPr="00955890" w:rsidRDefault="005B6028">
      <w:pPr>
        <w:spacing w:line="240" w:lineRule="auto"/>
        <w:rPr>
          <w:rFonts w:ascii="Trebuchet MS" w:hAnsi="Trebuchet MS"/>
        </w:rPr>
      </w:pPr>
      <w:r w:rsidRPr="00955890">
        <w:rPr>
          <w:rFonts w:ascii="Trebuchet MS" w:eastAsiaTheme="majorEastAsia" w:hAnsi="Trebuchet MS" w:cstheme="majorBidi"/>
          <w:b/>
          <w:bCs/>
          <w:spacing w:val="-10"/>
          <w:kern w:val="28"/>
          <w:sz w:val="28"/>
          <w:szCs w:val="56"/>
        </w:rPr>
        <w:t>Is nasopharyngeal carriage of </w:t>
      </w:r>
      <w:r w:rsidRPr="00955890">
        <w:rPr>
          <w:rFonts w:ascii="Trebuchet MS" w:eastAsiaTheme="majorEastAsia" w:hAnsi="Trebuchet MS" w:cstheme="majorBidi"/>
          <w:b/>
          <w:bCs/>
          <w:i/>
          <w:iCs/>
          <w:spacing w:val="-10"/>
          <w:kern w:val="28"/>
          <w:sz w:val="28"/>
          <w:szCs w:val="56"/>
        </w:rPr>
        <w:t>Staphylococcus aureus</w:t>
      </w:r>
      <w:r w:rsidRPr="00955890">
        <w:rPr>
          <w:rFonts w:ascii="Trebuchet MS" w:eastAsiaTheme="majorEastAsia" w:hAnsi="Trebuchet MS" w:cstheme="majorBidi"/>
          <w:b/>
          <w:bCs/>
          <w:spacing w:val="-10"/>
          <w:kern w:val="28"/>
          <w:sz w:val="28"/>
          <w:szCs w:val="56"/>
        </w:rPr>
        <w:t> associated with invasive disease in the same patient? A genomic approach</w:t>
      </w:r>
    </w:p>
    <w:p w14:paraId="4BEE3881" w14:textId="77777777" w:rsidR="00C7544E" w:rsidRPr="00955890" w:rsidRDefault="005B6028">
      <w:pPr>
        <w:spacing w:line="240" w:lineRule="auto"/>
        <w:rPr>
          <w:rFonts w:ascii="Trebuchet MS" w:hAnsi="Trebuchet MS"/>
        </w:rPr>
      </w:pPr>
      <w:r w:rsidRPr="00955890">
        <w:rPr>
          <w:rFonts w:ascii="Trebuchet MS" w:hAnsi="Trebuchet MS"/>
        </w:rPr>
        <w:t>Sulayman Sowe</w:t>
      </w:r>
      <w:r w:rsidRPr="00955890">
        <w:rPr>
          <w:rFonts w:ascii="Trebuchet MS" w:hAnsi="Trebuchet MS"/>
          <w:vertAlign w:val="superscript"/>
        </w:rPr>
        <w:t>1</w:t>
      </w:r>
      <w:r w:rsidRPr="00955890">
        <w:rPr>
          <w:rFonts w:ascii="Trebuchet MS" w:hAnsi="Trebuchet MS"/>
        </w:rPr>
        <w:t>, Morrow Minteh</w:t>
      </w:r>
      <w:r w:rsidRPr="00955890">
        <w:rPr>
          <w:rFonts w:ascii="Trebuchet MS" w:hAnsi="Trebuchet MS"/>
          <w:vertAlign w:val="superscript"/>
        </w:rPr>
        <w:t>1</w:t>
      </w:r>
      <w:r w:rsidRPr="00955890">
        <w:rPr>
          <w:rFonts w:ascii="Trebuchet MS" w:hAnsi="Trebuchet MS"/>
        </w:rPr>
        <w:t>, Matty Faal</w:t>
      </w:r>
      <w:r w:rsidRPr="00955890">
        <w:rPr>
          <w:rFonts w:ascii="Trebuchet MS" w:hAnsi="Trebuchet MS"/>
          <w:vertAlign w:val="superscript"/>
        </w:rPr>
        <w:t>1</w:t>
      </w:r>
      <w:r w:rsidRPr="00955890">
        <w:rPr>
          <w:rFonts w:ascii="Trebuchet MS" w:hAnsi="Trebuchet MS"/>
        </w:rPr>
        <w:t>, Horeja A Drammeh</w:t>
      </w:r>
      <w:r w:rsidRPr="00955890">
        <w:rPr>
          <w:rFonts w:ascii="Trebuchet MS" w:hAnsi="Trebuchet MS"/>
          <w:vertAlign w:val="superscript"/>
        </w:rPr>
        <w:t>1</w:t>
      </w:r>
      <w:r w:rsidRPr="00955890">
        <w:rPr>
          <w:rFonts w:ascii="Trebuchet MS" w:hAnsi="Trebuchet MS"/>
        </w:rPr>
        <w:t>, Gorrgi-Sam John</w:t>
      </w:r>
      <w:r w:rsidRPr="00955890">
        <w:rPr>
          <w:rFonts w:ascii="Trebuchet MS" w:hAnsi="Trebuchet MS"/>
          <w:vertAlign w:val="superscript"/>
        </w:rPr>
        <w:t>1</w:t>
      </w:r>
      <w:r w:rsidRPr="00955890">
        <w:rPr>
          <w:rFonts w:ascii="Trebuchet MS" w:hAnsi="Trebuchet MS"/>
        </w:rPr>
        <w:t>, Paulina Mendy</w:t>
      </w:r>
      <w:r w:rsidRPr="00955890">
        <w:rPr>
          <w:rFonts w:ascii="Trebuchet MS" w:hAnsi="Trebuchet MS"/>
          <w:vertAlign w:val="superscript"/>
        </w:rPr>
        <w:t>1</w:t>
      </w:r>
      <w:r w:rsidRPr="00955890">
        <w:rPr>
          <w:rFonts w:ascii="Trebuchet MS" w:hAnsi="Trebuchet MS"/>
        </w:rPr>
        <w:t>, Ebrima Faal</w:t>
      </w:r>
      <w:r w:rsidRPr="00955890">
        <w:rPr>
          <w:rFonts w:ascii="Trebuchet MS" w:hAnsi="Trebuchet MS"/>
          <w:vertAlign w:val="superscript"/>
        </w:rPr>
        <w:t>1</w:t>
      </w:r>
      <w:r w:rsidRPr="00955890">
        <w:rPr>
          <w:rFonts w:ascii="Trebuchet MS" w:hAnsi="Trebuchet MS"/>
        </w:rPr>
        <w:t>, Mustapha Dibbasey</w:t>
      </w:r>
      <w:r w:rsidRPr="00955890">
        <w:rPr>
          <w:rFonts w:ascii="Trebuchet MS" w:hAnsi="Trebuchet MS"/>
          <w:vertAlign w:val="superscript"/>
        </w:rPr>
        <w:t>1</w:t>
      </w:r>
      <w:r w:rsidRPr="00955890">
        <w:rPr>
          <w:rFonts w:ascii="Trebuchet MS" w:hAnsi="Trebuchet MS"/>
        </w:rPr>
        <w:t>, Grant Makenzie</w:t>
      </w:r>
      <w:r w:rsidRPr="00955890">
        <w:rPr>
          <w:rFonts w:ascii="Trebuchet MS" w:hAnsi="Trebuchet MS"/>
          <w:vertAlign w:val="superscript"/>
        </w:rPr>
        <w:t>1</w:t>
      </w:r>
      <w:r w:rsidRPr="00955890">
        <w:rPr>
          <w:rFonts w:ascii="Trebuchet MS" w:hAnsi="Trebuchet MS"/>
        </w:rPr>
        <w:t>, Solomon Umukoro</w:t>
      </w:r>
      <w:r w:rsidRPr="00955890">
        <w:rPr>
          <w:rFonts w:ascii="Trebuchet MS" w:hAnsi="Trebuchet MS"/>
          <w:vertAlign w:val="superscript"/>
        </w:rPr>
        <w:t>1</w:t>
      </w:r>
      <w:r w:rsidRPr="00955890">
        <w:rPr>
          <w:rFonts w:ascii="Trebuchet MS" w:hAnsi="Trebuchet MS"/>
        </w:rPr>
        <w:t>, Karen Forest</w:t>
      </w:r>
      <w:r w:rsidRPr="00955890">
        <w:rPr>
          <w:rFonts w:ascii="Trebuchet MS" w:hAnsi="Trebuchet MS"/>
          <w:vertAlign w:val="superscript"/>
        </w:rPr>
        <w:t>1</w:t>
      </w:r>
      <w:r w:rsidRPr="00955890">
        <w:rPr>
          <w:rFonts w:ascii="Trebuchet MS" w:hAnsi="Trebuchet MS"/>
        </w:rPr>
        <w:t>, Benjamin P Howden</w:t>
      </w:r>
      <w:r w:rsidRPr="00955890">
        <w:rPr>
          <w:rFonts w:ascii="Trebuchet MS" w:hAnsi="Trebuchet MS"/>
          <w:vertAlign w:val="superscript"/>
        </w:rPr>
        <w:t>2,3,4</w:t>
      </w:r>
      <w:r w:rsidRPr="00955890">
        <w:rPr>
          <w:rFonts w:ascii="Trebuchet MS" w:hAnsi="Trebuchet MS"/>
        </w:rPr>
        <w:t>, Elodie Ghedin</w:t>
      </w:r>
      <w:r w:rsidRPr="00955890">
        <w:rPr>
          <w:rFonts w:ascii="Trebuchet MS" w:hAnsi="Trebuchet MS"/>
          <w:vertAlign w:val="superscript"/>
        </w:rPr>
        <w:t>5</w:t>
      </w:r>
      <w:r w:rsidRPr="00955890">
        <w:rPr>
          <w:rFonts w:ascii="Trebuchet MS" w:hAnsi="Trebuchet MS"/>
        </w:rPr>
        <w:t>, Anna Roca</w:t>
      </w:r>
      <w:r w:rsidRPr="00955890">
        <w:rPr>
          <w:rFonts w:ascii="Trebuchet MS" w:hAnsi="Trebuchet MS"/>
          <w:vertAlign w:val="superscript"/>
        </w:rPr>
        <w:t>6</w:t>
      </w:r>
      <w:r w:rsidRPr="00955890">
        <w:rPr>
          <w:rFonts w:ascii="Trebuchet MS" w:hAnsi="Trebuchet MS"/>
        </w:rPr>
        <w:t>, Ousman Secka</w:t>
      </w:r>
      <w:r w:rsidRPr="00955890">
        <w:rPr>
          <w:rFonts w:ascii="Trebuchet MS" w:hAnsi="Trebuchet MS"/>
          <w:vertAlign w:val="superscript"/>
        </w:rPr>
        <w:t>1</w:t>
      </w:r>
      <w:r w:rsidRPr="00955890">
        <w:rPr>
          <w:rFonts w:ascii="Trebuchet MS" w:hAnsi="Trebuchet MS"/>
        </w:rPr>
        <w:t>, Lamarana Jallow</w:t>
      </w:r>
      <w:r w:rsidRPr="00955890">
        <w:rPr>
          <w:rFonts w:ascii="Trebuchet MS" w:hAnsi="Trebuchet MS"/>
          <w:vertAlign w:val="superscript"/>
        </w:rPr>
        <w:t>7</w:t>
      </w:r>
      <w:r w:rsidRPr="00955890">
        <w:rPr>
          <w:rFonts w:ascii="Trebuchet MS" w:hAnsi="Trebuchet MS"/>
        </w:rPr>
        <w:t>, Abdoulie Bojang</w:t>
      </w:r>
      <w:r w:rsidRPr="00955890">
        <w:rPr>
          <w:rFonts w:ascii="Trebuchet MS" w:hAnsi="Trebuchet MS"/>
          <w:vertAlign w:val="superscript"/>
        </w:rPr>
        <w:t>*1</w:t>
      </w:r>
    </w:p>
    <w:p w14:paraId="0CFA964A" w14:textId="77777777" w:rsidR="00C7544E" w:rsidRPr="00955890" w:rsidRDefault="00C7544E">
      <w:pPr>
        <w:spacing w:line="240" w:lineRule="auto"/>
        <w:rPr>
          <w:rFonts w:ascii="Trebuchet MS" w:hAnsi="Trebuchet MS"/>
        </w:rPr>
      </w:pPr>
    </w:p>
    <w:p w14:paraId="04645E2B" w14:textId="77777777" w:rsidR="00C7544E" w:rsidRPr="00955890" w:rsidRDefault="005B6028">
      <w:pPr>
        <w:spacing w:line="240" w:lineRule="auto"/>
        <w:rPr>
          <w:rFonts w:ascii="Trebuchet MS" w:hAnsi="Trebuchet MS"/>
        </w:rPr>
      </w:pPr>
      <w:r w:rsidRPr="00955890">
        <w:rPr>
          <w:rFonts w:ascii="Trebuchet MS" w:hAnsi="Trebuchet MS"/>
          <w:vertAlign w:val="superscript"/>
        </w:rPr>
        <w:t>1</w:t>
      </w:r>
      <w:r w:rsidRPr="00955890">
        <w:rPr>
          <w:rFonts w:ascii="Trebuchet MS" w:hAnsi="Trebuchet MS"/>
        </w:rPr>
        <w:t>MRC Unit The Gambia at the London School of Hygiene and Tropical Medicine, Fajara, The Gambia.</w:t>
      </w:r>
    </w:p>
    <w:p w14:paraId="6D0EDC19" w14:textId="77777777" w:rsidR="00C7544E" w:rsidRPr="00955890" w:rsidRDefault="005B6028">
      <w:pPr>
        <w:spacing w:line="240" w:lineRule="auto"/>
        <w:rPr>
          <w:rFonts w:ascii="Trebuchet MS" w:hAnsi="Trebuchet MS"/>
        </w:rPr>
      </w:pPr>
      <w:r w:rsidRPr="00955890">
        <w:rPr>
          <w:rFonts w:ascii="Trebuchet MS" w:hAnsi="Trebuchet MS"/>
          <w:vertAlign w:val="superscript"/>
        </w:rPr>
        <w:t>2</w:t>
      </w:r>
      <w:r w:rsidRPr="00955890">
        <w:rPr>
          <w:rFonts w:ascii="Trebuchet MS" w:hAnsi="Trebuchet MS"/>
        </w:rPr>
        <w:t xml:space="preserve">Department of Microbiology and Immunology, Doherty Institute, University of Melbourne, Melbourne, Australia                                                                                                                                                </w:t>
      </w:r>
    </w:p>
    <w:p w14:paraId="197D3D76" w14:textId="77777777" w:rsidR="00C7544E" w:rsidRPr="00955890" w:rsidRDefault="005B6028">
      <w:pPr>
        <w:spacing w:line="240" w:lineRule="auto"/>
        <w:rPr>
          <w:rFonts w:ascii="Trebuchet MS" w:hAnsi="Trebuchet MS"/>
        </w:rPr>
      </w:pPr>
      <w:r w:rsidRPr="00955890">
        <w:rPr>
          <w:rFonts w:ascii="Trebuchet MS" w:hAnsi="Trebuchet MS"/>
        </w:rPr>
        <w:t> </w:t>
      </w:r>
      <w:r w:rsidRPr="00955890">
        <w:rPr>
          <w:rFonts w:ascii="Trebuchet MS" w:hAnsi="Trebuchet MS"/>
          <w:vertAlign w:val="superscript"/>
        </w:rPr>
        <w:t>3</w:t>
      </w:r>
      <w:r w:rsidRPr="00955890">
        <w:rPr>
          <w:rFonts w:ascii="Trebuchet MS" w:hAnsi="Trebuchet MS"/>
        </w:rPr>
        <w:t>Microbiological Diagnostic Unit Public Health Laboratory, Department of Microbiology and Immunology, Doherty Institute, University of Melbourne, Melbourne, Australia.</w:t>
      </w:r>
    </w:p>
    <w:p w14:paraId="74ABA74A" w14:textId="77777777" w:rsidR="00C7544E" w:rsidRPr="00955890" w:rsidRDefault="005B6028">
      <w:pPr>
        <w:spacing w:line="240" w:lineRule="auto"/>
        <w:rPr>
          <w:rFonts w:ascii="Trebuchet MS" w:hAnsi="Trebuchet MS"/>
        </w:rPr>
      </w:pPr>
      <w:r w:rsidRPr="00955890">
        <w:rPr>
          <w:rFonts w:ascii="Trebuchet MS" w:hAnsi="Trebuchet MS"/>
          <w:vertAlign w:val="superscript"/>
        </w:rPr>
        <w:t>4</w:t>
      </w:r>
      <w:r w:rsidRPr="00955890">
        <w:rPr>
          <w:rFonts w:ascii="Trebuchet MS" w:hAnsi="Trebuchet MS"/>
        </w:rPr>
        <w:t>Centre for Pathogen Genomics, University of Melbourne, Melbourne, Australia</w:t>
      </w:r>
    </w:p>
    <w:p w14:paraId="783DB066" w14:textId="77777777" w:rsidR="00C7544E" w:rsidRPr="00955890" w:rsidRDefault="005B6028">
      <w:pPr>
        <w:spacing w:line="240" w:lineRule="auto"/>
        <w:rPr>
          <w:rFonts w:ascii="Trebuchet MS" w:hAnsi="Trebuchet MS"/>
        </w:rPr>
      </w:pPr>
      <w:r w:rsidRPr="00955890">
        <w:rPr>
          <w:rFonts w:ascii="Trebuchet MS" w:hAnsi="Trebuchet MS"/>
          <w:vertAlign w:val="superscript"/>
        </w:rPr>
        <w:t>5</w:t>
      </w:r>
      <w:r w:rsidRPr="00955890">
        <w:rPr>
          <w:rFonts w:ascii="Trebuchet MS" w:hAnsi="Trebuchet MS"/>
        </w:rPr>
        <w:t>Systems Genomics Section, Laboratory of Parasitic Diseases, National Institute of Allergy and Infectious Diseases, NIH, Bethesda, MD, USA</w:t>
      </w:r>
    </w:p>
    <w:p w14:paraId="5A79FDD5" w14:textId="77777777" w:rsidR="00C7544E" w:rsidRPr="00955890" w:rsidRDefault="005B6028">
      <w:pPr>
        <w:spacing w:line="240" w:lineRule="auto"/>
        <w:rPr>
          <w:rFonts w:ascii="Trebuchet MS" w:hAnsi="Trebuchet MS"/>
        </w:rPr>
      </w:pPr>
      <w:r w:rsidRPr="00955890">
        <w:rPr>
          <w:rFonts w:ascii="Trebuchet MS" w:hAnsi="Trebuchet MS"/>
          <w:vertAlign w:val="superscript"/>
        </w:rPr>
        <w:t>6</w:t>
      </w:r>
      <w:r w:rsidRPr="00955890">
        <w:rPr>
          <w:rFonts w:ascii="Trebuchet MS" w:hAnsi="Trebuchet MS"/>
        </w:rPr>
        <w:t>ISGlobal, Barcelona Institute of Global Health, Barcelona, Spain</w:t>
      </w:r>
    </w:p>
    <w:p w14:paraId="7E1CEAB0" w14:textId="77777777" w:rsidR="00C7544E" w:rsidRPr="00955890" w:rsidRDefault="005B6028">
      <w:pPr>
        <w:spacing w:line="240" w:lineRule="auto"/>
        <w:rPr>
          <w:rFonts w:ascii="Trebuchet MS" w:hAnsi="Trebuchet MS"/>
        </w:rPr>
      </w:pPr>
      <w:r w:rsidRPr="00955890">
        <w:rPr>
          <w:rFonts w:ascii="Trebuchet MS" w:hAnsi="Trebuchet MS"/>
          <w:vertAlign w:val="superscript"/>
        </w:rPr>
        <w:t>7</w:t>
      </w:r>
      <w:r w:rsidRPr="00955890">
        <w:rPr>
          <w:rFonts w:ascii="Trebuchet MS" w:hAnsi="Trebuchet MS"/>
        </w:rPr>
        <w:t>West African Centre for Cell Biology of Infectious Pathogens, University of Ghana, Accra, Ghana</w:t>
      </w:r>
    </w:p>
    <w:p w14:paraId="61436871" w14:textId="77777777" w:rsidR="00C7544E" w:rsidRPr="00955890" w:rsidRDefault="005B6028">
      <w:pPr>
        <w:spacing w:line="240" w:lineRule="auto"/>
        <w:rPr>
          <w:rFonts w:ascii="Trebuchet MS" w:hAnsi="Trebuchet MS"/>
        </w:rPr>
      </w:pPr>
      <w:r w:rsidRPr="00955890">
        <w:rPr>
          <w:rFonts w:ascii="Trebuchet MS" w:hAnsi="Trebuchet MS"/>
        </w:rPr>
        <w:t xml:space="preserve">*Corresponding author: </w:t>
      </w:r>
      <w:hyperlink r:id="rId6" w:history="1">
        <w:r w:rsidR="00C7544E" w:rsidRPr="00955890">
          <w:rPr>
            <w:rStyle w:val="Hyperlink"/>
            <w:rFonts w:ascii="Trebuchet MS" w:hAnsi="Trebuchet MS"/>
          </w:rPr>
          <w:t>abdoulie.bojang@lshtm.ac.uk</w:t>
        </w:r>
      </w:hyperlink>
      <w:r w:rsidRPr="00955890">
        <w:rPr>
          <w:rFonts w:ascii="Trebuchet MS" w:hAnsi="Trebuchet MS"/>
        </w:rPr>
        <w:t> </w:t>
      </w:r>
    </w:p>
    <w:p w14:paraId="49C58FA5" w14:textId="77777777" w:rsidR="00C7544E" w:rsidRPr="00955890" w:rsidRDefault="00C7544E">
      <w:pPr>
        <w:spacing w:line="240" w:lineRule="auto"/>
        <w:rPr>
          <w:rFonts w:ascii="Trebuchet MS" w:hAnsi="Trebuchet MS"/>
        </w:rPr>
      </w:pPr>
    </w:p>
    <w:p w14:paraId="169E2E9F" w14:textId="77777777" w:rsidR="00C7544E" w:rsidRPr="00955890" w:rsidRDefault="005B6028">
      <w:pPr>
        <w:pStyle w:val="Heading1"/>
        <w:spacing w:line="240" w:lineRule="auto"/>
        <w:rPr>
          <w:rFonts w:ascii="Trebuchet MS" w:hAnsi="Trebuchet MS"/>
        </w:rPr>
      </w:pPr>
      <w:r w:rsidRPr="00955890">
        <w:rPr>
          <w:rFonts w:ascii="Trebuchet MS" w:hAnsi="Trebuchet MS"/>
        </w:rPr>
        <w:t>Abstract</w:t>
      </w:r>
    </w:p>
    <w:p w14:paraId="6A225D2E" w14:textId="77777777" w:rsidR="00BA4893" w:rsidRDefault="00BA4893" w:rsidP="00BA4893">
      <w:pPr>
        <w:pStyle w:val="Heading2"/>
      </w:pPr>
      <w:r w:rsidRPr="00BA4893">
        <w:t xml:space="preserve">Background: </w:t>
      </w:r>
    </w:p>
    <w:p w14:paraId="6BE77AD7" w14:textId="6D081534" w:rsidR="00BA4893" w:rsidRDefault="00BA4893" w:rsidP="00BA4893">
      <w:pPr>
        <w:spacing w:line="360" w:lineRule="auto"/>
        <w:rPr>
          <w:rFonts w:ascii="Trebuchet MS" w:eastAsiaTheme="majorEastAsia" w:hAnsi="Trebuchet MS" w:cstheme="majorBidi"/>
          <w:bCs/>
        </w:rPr>
      </w:pPr>
      <w:r w:rsidRPr="00BA4893">
        <w:rPr>
          <w:rFonts w:ascii="Trebuchet MS" w:eastAsiaTheme="majorEastAsia" w:hAnsi="Trebuchet MS" w:cstheme="majorBidi"/>
          <w:bCs/>
          <w:i/>
          <w:iCs/>
        </w:rPr>
        <w:t>Staphylococcus aureus</w:t>
      </w:r>
      <w:r w:rsidRPr="00BA4893">
        <w:rPr>
          <w:rFonts w:ascii="Trebuchet MS" w:eastAsiaTheme="majorEastAsia" w:hAnsi="Trebuchet MS" w:cstheme="majorBidi"/>
          <w:bCs/>
        </w:rPr>
        <w:t xml:space="preserve"> nasopharyngeal colonization is a major risk factor for invasive disease and has traditionally been regarded as the principal endogenous reservoir from which bloodstream infections arise. However, the genomic relationship between contemporaneously sampled carriage and invasive isolates remains incompletely understood, particularly in sub-Saharan Africa, where paired genomic studies are scarce.</w:t>
      </w:r>
    </w:p>
    <w:p w14:paraId="4EF38552" w14:textId="77777777" w:rsidR="00BA4893" w:rsidRPr="00BA4893" w:rsidRDefault="00BA4893" w:rsidP="00BA4893">
      <w:pPr>
        <w:spacing w:line="360" w:lineRule="auto"/>
        <w:rPr>
          <w:rFonts w:ascii="Trebuchet MS" w:eastAsiaTheme="majorEastAsia" w:hAnsi="Trebuchet MS" w:cstheme="majorBidi"/>
          <w:bCs/>
        </w:rPr>
      </w:pPr>
    </w:p>
    <w:p w14:paraId="0AA3019E" w14:textId="77777777" w:rsidR="00BA4893" w:rsidRDefault="00BA4893" w:rsidP="00BA4893">
      <w:pPr>
        <w:spacing w:line="360" w:lineRule="auto"/>
        <w:rPr>
          <w:rFonts w:ascii="Trebuchet MS" w:eastAsiaTheme="majorEastAsia" w:hAnsi="Trebuchet MS" w:cstheme="majorBidi"/>
          <w:bCs/>
        </w:rPr>
      </w:pPr>
      <w:r w:rsidRPr="00BA4893">
        <w:rPr>
          <w:rStyle w:val="Heading2Char"/>
        </w:rPr>
        <w:lastRenderedPageBreak/>
        <w:t>Methods:</w:t>
      </w:r>
      <w:r w:rsidRPr="00BA4893">
        <w:rPr>
          <w:rFonts w:ascii="Trebuchet MS" w:eastAsiaTheme="majorEastAsia" w:hAnsi="Trebuchet MS" w:cstheme="majorBidi"/>
          <w:bCs/>
        </w:rPr>
        <w:t xml:space="preserve"> </w:t>
      </w:r>
    </w:p>
    <w:p w14:paraId="2A606ED0" w14:textId="3C700F00" w:rsidR="00BA4893" w:rsidRPr="00BA4893" w:rsidRDefault="00BA4893" w:rsidP="00BA4893">
      <w:pPr>
        <w:spacing w:line="360" w:lineRule="auto"/>
        <w:rPr>
          <w:rFonts w:ascii="Trebuchet MS" w:eastAsiaTheme="majorEastAsia" w:hAnsi="Trebuchet MS" w:cstheme="majorBidi"/>
          <w:bCs/>
        </w:rPr>
      </w:pPr>
      <w:r w:rsidRPr="00BA4893">
        <w:rPr>
          <w:rFonts w:ascii="Trebuchet MS" w:eastAsiaTheme="majorEastAsia" w:hAnsi="Trebuchet MS" w:cstheme="majorBidi"/>
          <w:bCs/>
        </w:rPr>
        <w:t xml:space="preserve">We performed whole-genome sequencing of paired bloodstream (BC) and contemporaneously collected nasopharyngeal (NPS) </w:t>
      </w:r>
      <w:r w:rsidRPr="00BA4893">
        <w:rPr>
          <w:rFonts w:ascii="Trebuchet MS" w:eastAsiaTheme="majorEastAsia" w:hAnsi="Trebuchet MS" w:cstheme="majorBidi"/>
          <w:bCs/>
          <w:i/>
          <w:iCs/>
        </w:rPr>
        <w:t>S. aureus</w:t>
      </w:r>
      <w:r w:rsidRPr="00BA4893">
        <w:rPr>
          <w:rFonts w:ascii="Trebuchet MS" w:eastAsiaTheme="majorEastAsia" w:hAnsi="Trebuchet MS" w:cstheme="majorBidi"/>
          <w:bCs/>
        </w:rPr>
        <w:t xml:space="preserve"> isolates from 35 Gambian children with invasive disease. To improve representation of the carriage population, up to eight morphologically distinct colonies were analysed from each nasopharyngeal specimen. Paired isolates were compared for multilocus sequence type (MLST) concordance, clonal complex distribution, antimicrobial resistance determinants, and virulence-gene composition.</w:t>
      </w:r>
      <w:r w:rsidRPr="00BA4893">
        <w:rPr>
          <w:rFonts w:ascii="Trebuchet MS" w:eastAsia="Times New Roman" w:hAnsi="Trebuchet MS" w:cs="Times New Roman"/>
          <w:kern w:val="0"/>
          <w14:ligatures w14:val="none"/>
        </w:rPr>
        <w:t xml:space="preserve"> </w:t>
      </w:r>
      <w:r w:rsidRPr="00BA4893">
        <w:rPr>
          <w:rFonts w:ascii="Trebuchet MS" w:eastAsiaTheme="majorEastAsia" w:hAnsi="Trebuchet MS" w:cstheme="majorBidi"/>
          <w:bCs/>
        </w:rPr>
        <w:t>Generalized Linear Mixed Models statistical test was used to calculate the Odds Ratios (OR) and 95% Confidence Intervals (CI) in R studio.</w:t>
      </w:r>
    </w:p>
    <w:p w14:paraId="47E4CBF0" w14:textId="77777777" w:rsidR="00BA4893" w:rsidRDefault="00BA4893" w:rsidP="00BA4893">
      <w:pPr>
        <w:spacing w:line="360" w:lineRule="auto"/>
        <w:rPr>
          <w:rFonts w:ascii="Trebuchet MS" w:eastAsiaTheme="majorEastAsia" w:hAnsi="Trebuchet MS" w:cstheme="majorBidi"/>
          <w:bCs/>
        </w:rPr>
      </w:pPr>
      <w:r w:rsidRPr="00BA4893">
        <w:rPr>
          <w:rStyle w:val="Heading2Char"/>
        </w:rPr>
        <w:t>Results:</w:t>
      </w:r>
      <w:r w:rsidRPr="00BA4893">
        <w:rPr>
          <w:rFonts w:ascii="Trebuchet MS" w:eastAsiaTheme="majorEastAsia" w:hAnsi="Trebuchet MS" w:cstheme="majorBidi"/>
          <w:bCs/>
        </w:rPr>
        <w:t xml:space="preserve"> </w:t>
      </w:r>
    </w:p>
    <w:p w14:paraId="5087F0E9" w14:textId="00A93101" w:rsidR="00BA4893" w:rsidRPr="00BA4893" w:rsidRDefault="00BA4893" w:rsidP="00BA4893">
      <w:pPr>
        <w:spacing w:line="360" w:lineRule="auto"/>
        <w:rPr>
          <w:rFonts w:ascii="Trebuchet MS" w:hAnsi="Trebuchet MS"/>
        </w:rPr>
      </w:pPr>
      <w:r w:rsidRPr="00BA4893">
        <w:rPr>
          <w:rFonts w:ascii="Trebuchet MS" w:eastAsiaTheme="majorEastAsia" w:hAnsi="Trebuchet MS" w:cstheme="majorBidi"/>
          <w:bCs/>
        </w:rPr>
        <w:t xml:space="preserve">Only 9 of 35 (25.7%) patients had at least one nasopharyngeal isolate sharing the same sequence type as the paired bloodstream isolate, indicating limited patient-level concordance. Despite this, bloodstream and nasopharyngeal isolates displayed remarkably similar </w:t>
      </w:r>
      <w:r w:rsidR="003B6518">
        <w:rPr>
          <w:rFonts w:ascii="Trebuchet MS" w:eastAsiaTheme="majorEastAsia" w:hAnsi="Trebuchet MS" w:cstheme="majorBidi"/>
          <w:bCs/>
        </w:rPr>
        <w:t>genetic characteristics</w:t>
      </w:r>
      <w:commentRangeStart w:id="0"/>
      <w:r w:rsidRPr="00BA4893">
        <w:rPr>
          <w:rFonts w:ascii="Trebuchet MS" w:eastAsiaTheme="majorEastAsia" w:hAnsi="Trebuchet MS" w:cstheme="majorBidi"/>
          <w:bCs/>
        </w:rPr>
        <w:t>,</w:t>
      </w:r>
      <w:commentRangeEnd w:id="0"/>
      <w:r w:rsidRPr="00BA4893">
        <w:rPr>
          <w:rStyle w:val="CommentReference"/>
          <w:rFonts w:ascii="Trebuchet MS" w:eastAsiaTheme="majorEastAsia" w:hAnsi="Trebuchet MS" w:cstheme="majorBidi"/>
          <w:bCs/>
          <w:sz w:val="24"/>
          <w:szCs w:val="24"/>
        </w:rPr>
        <w:commentReference w:id="0"/>
      </w:r>
      <w:r w:rsidRPr="00BA4893">
        <w:rPr>
          <w:rFonts w:ascii="Trebuchet MS" w:eastAsiaTheme="majorEastAsia" w:hAnsi="Trebuchet MS" w:cstheme="majorBidi"/>
          <w:bCs/>
        </w:rPr>
        <w:t xml:space="preserve"> with ST152/CC152 and ST15/CC15 dominating both compartments. Within the ST-matched cohort, most virulence determinants were shared between the matched isolates; however, certain genes, including </w:t>
      </w:r>
      <w:r w:rsidRPr="00BA4893">
        <w:rPr>
          <w:rFonts w:ascii="Trebuchet MS" w:eastAsiaTheme="majorEastAsia" w:hAnsi="Trebuchet MS" w:cstheme="majorBidi"/>
          <w:bCs/>
          <w:i/>
          <w:iCs/>
        </w:rPr>
        <w:t>cap</w:t>
      </w:r>
      <w:r w:rsidRPr="00BA4893">
        <w:rPr>
          <w:rFonts w:ascii="Trebuchet MS" w:eastAsiaTheme="majorEastAsia" w:hAnsi="Trebuchet MS" w:cstheme="majorBidi"/>
          <w:bCs/>
        </w:rPr>
        <w:t xml:space="preserve"> </w:t>
      </w:r>
      <w:r w:rsidRPr="00BA4893">
        <w:rPr>
          <w:rFonts w:ascii="Trebuchet MS" w:eastAsiaTheme="majorEastAsia" w:hAnsi="Trebuchet MS" w:cstheme="majorBidi"/>
          <w:bCs/>
          <w:i/>
          <w:iCs/>
        </w:rPr>
        <w:t>operon</w:t>
      </w:r>
      <w:r w:rsidRPr="00BA4893">
        <w:rPr>
          <w:rFonts w:ascii="Trebuchet MS" w:eastAsiaTheme="majorEastAsia" w:hAnsi="Trebuchet MS" w:cstheme="majorBidi"/>
          <w:bCs/>
        </w:rPr>
        <w:t xml:space="preserve">, </w:t>
      </w:r>
      <w:r w:rsidRPr="00BA4893">
        <w:rPr>
          <w:rFonts w:ascii="Trebuchet MS" w:eastAsiaTheme="majorEastAsia" w:hAnsi="Trebuchet MS" w:cstheme="majorBidi"/>
          <w:bCs/>
          <w:i/>
          <w:iCs/>
        </w:rPr>
        <w:t>cna</w:t>
      </w:r>
      <w:r w:rsidRPr="00BA4893">
        <w:rPr>
          <w:rFonts w:ascii="Trebuchet MS" w:eastAsiaTheme="majorEastAsia" w:hAnsi="Trebuchet MS" w:cstheme="majorBidi"/>
          <w:bCs/>
        </w:rPr>
        <w:t xml:space="preserve">, and </w:t>
      </w:r>
      <w:r w:rsidRPr="00BA4893">
        <w:rPr>
          <w:rFonts w:ascii="Trebuchet MS" w:eastAsiaTheme="majorEastAsia" w:hAnsi="Trebuchet MS" w:cstheme="majorBidi"/>
          <w:bCs/>
          <w:i/>
          <w:iCs/>
        </w:rPr>
        <w:t>hld</w:t>
      </w:r>
      <w:r w:rsidRPr="00BA4893">
        <w:rPr>
          <w:rFonts w:ascii="Trebuchet MS" w:eastAsiaTheme="majorEastAsia" w:hAnsi="Trebuchet MS" w:cstheme="majorBidi"/>
          <w:bCs/>
        </w:rPr>
        <w:t xml:space="preserve">, were more frequently identified among bloodstream isolates, whereas </w:t>
      </w:r>
      <w:r w:rsidRPr="00BA4893">
        <w:rPr>
          <w:rFonts w:ascii="Trebuchet MS" w:eastAsiaTheme="majorEastAsia" w:hAnsi="Trebuchet MS" w:cstheme="majorBidi"/>
          <w:bCs/>
          <w:i/>
          <w:iCs/>
        </w:rPr>
        <w:t>chp</w:t>
      </w:r>
      <w:r w:rsidRPr="00BA4893">
        <w:rPr>
          <w:rFonts w:ascii="Trebuchet MS" w:eastAsiaTheme="majorEastAsia" w:hAnsi="Trebuchet MS" w:cstheme="majorBidi"/>
          <w:bCs/>
        </w:rPr>
        <w:t xml:space="preserve"> gene was more prevalent among nasopharyngeal isolates</w:t>
      </w:r>
      <w:r>
        <w:rPr>
          <w:rFonts w:ascii="Trebuchet MS" w:eastAsiaTheme="majorEastAsia" w:hAnsi="Trebuchet MS" w:cstheme="majorBidi"/>
          <w:bCs/>
        </w:rPr>
        <w:t xml:space="preserve">: </w:t>
      </w:r>
      <w:r w:rsidRPr="00955890">
        <w:rPr>
          <w:rFonts w:ascii="Trebuchet MS" w:hAnsi="Trebuchet MS"/>
          <w:i/>
          <w:iCs/>
        </w:rPr>
        <w:t>cap operon</w:t>
      </w:r>
      <w:r w:rsidRPr="00955890">
        <w:rPr>
          <w:rFonts w:ascii="Trebuchet MS" w:hAnsi="Trebuchet MS"/>
        </w:rPr>
        <w:t xml:space="preserve"> OR </w:t>
      </w:r>
      <w:r w:rsidRPr="003F5CFA">
        <w:rPr>
          <w:rFonts w:ascii="Trebuchet MS" w:hAnsi="Trebuchet MS"/>
        </w:rPr>
        <w:t>8.27</w:t>
      </w:r>
      <w:r>
        <w:rPr>
          <w:rFonts w:ascii="Trebuchet MS" w:hAnsi="Trebuchet MS"/>
        </w:rPr>
        <w:t xml:space="preserve"> (95% CI: </w:t>
      </w:r>
      <w:r w:rsidRPr="003F5CFA">
        <w:rPr>
          <w:rFonts w:ascii="Trebuchet MS" w:hAnsi="Trebuchet MS"/>
        </w:rPr>
        <w:t>1.41-48.53</w:t>
      </w:r>
      <w:r>
        <w:rPr>
          <w:rFonts w:ascii="Trebuchet MS" w:hAnsi="Trebuchet MS"/>
        </w:rPr>
        <w:t>), p = 0.019;</w:t>
      </w:r>
      <w:r w:rsidRPr="00955890">
        <w:rPr>
          <w:rFonts w:ascii="Trebuchet MS" w:hAnsi="Trebuchet MS"/>
        </w:rPr>
        <w:t xml:space="preserve"> </w:t>
      </w:r>
      <w:r w:rsidRPr="00955890">
        <w:rPr>
          <w:rFonts w:ascii="Trebuchet MS" w:hAnsi="Trebuchet MS"/>
          <w:i/>
          <w:iCs/>
        </w:rPr>
        <w:t>cna</w:t>
      </w:r>
      <w:r w:rsidRPr="00955890">
        <w:rPr>
          <w:rFonts w:ascii="Trebuchet MS" w:hAnsi="Trebuchet MS"/>
        </w:rPr>
        <w:t xml:space="preserve"> OR </w:t>
      </w:r>
      <w:r w:rsidRPr="002D41E4">
        <w:rPr>
          <w:rFonts w:ascii="Trebuchet MS" w:hAnsi="Trebuchet MS"/>
        </w:rPr>
        <w:t>2.75</w:t>
      </w:r>
      <w:r>
        <w:rPr>
          <w:rFonts w:ascii="Trebuchet MS" w:hAnsi="Trebuchet MS"/>
        </w:rPr>
        <w:t xml:space="preserve"> (95% CI: </w:t>
      </w:r>
      <w:r w:rsidRPr="002D41E4">
        <w:rPr>
          <w:rFonts w:ascii="Trebuchet MS" w:hAnsi="Trebuchet MS"/>
        </w:rPr>
        <w:t>2.72-2.77</w:t>
      </w:r>
      <w:r>
        <w:rPr>
          <w:rFonts w:ascii="Trebuchet MS" w:hAnsi="Trebuchet MS"/>
        </w:rPr>
        <w:t xml:space="preserve">), p = &lt;0.001; </w:t>
      </w:r>
      <w:r w:rsidRPr="00955890">
        <w:rPr>
          <w:rFonts w:ascii="Trebuchet MS" w:hAnsi="Trebuchet MS"/>
          <w:i/>
          <w:iCs/>
        </w:rPr>
        <w:t xml:space="preserve">hld </w:t>
      </w:r>
      <w:r w:rsidRPr="00955890">
        <w:rPr>
          <w:rFonts w:ascii="Trebuchet MS" w:hAnsi="Trebuchet MS"/>
        </w:rPr>
        <w:t xml:space="preserve">OR </w:t>
      </w:r>
      <w:r w:rsidRPr="002D41E4">
        <w:rPr>
          <w:rFonts w:ascii="Trebuchet MS" w:hAnsi="Trebuchet MS"/>
        </w:rPr>
        <w:t>5.21</w:t>
      </w:r>
      <w:r>
        <w:rPr>
          <w:rFonts w:ascii="Trebuchet MS" w:hAnsi="Trebuchet MS"/>
        </w:rPr>
        <w:t xml:space="preserve"> (95% CI: </w:t>
      </w:r>
      <w:r w:rsidRPr="002D41E4">
        <w:rPr>
          <w:rFonts w:ascii="Trebuchet MS" w:hAnsi="Trebuchet MS"/>
        </w:rPr>
        <w:t>5.03-5.39</w:t>
      </w:r>
      <w:r>
        <w:rPr>
          <w:rFonts w:ascii="Trebuchet MS" w:hAnsi="Trebuchet MS"/>
        </w:rPr>
        <w:t xml:space="preserve">), p = &lt;0.001; </w:t>
      </w:r>
      <w:r w:rsidRPr="00BA4893">
        <w:rPr>
          <w:rFonts w:ascii="Trebuchet MS" w:eastAsiaTheme="majorEastAsia" w:hAnsi="Trebuchet MS" w:cstheme="majorBidi"/>
          <w:bCs/>
          <w:i/>
          <w:iCs/>
        </w:rPr>
        <w:t>chp</w:t>
      </w:r>
      <w:r>
        <w:rPr>
          <w:rFonts w:ascii="Trebuchet MS" w:eastAsiaTheme="majorEastAsia" w:hAnsi="Trebuchet MS" w:cstheme="majorBidi"/>
          <w:bCs/>
          <w:i/>
          <w:iCs/>
        </w:rPr>
        <w:t xml:space="preserve"> </w:t>
      </w:r>
      <w:r w:rsidRPr="00955890">
        <w:rPr>
          <w:rFonts w:ascii="Trebuchet MS" w:hAnsi="Trebuchet MS"/>
        </w:rPr>
        <w:t xml:space="preserve">OR </w:t>
      </w:r>
      <w:r>
        <w:rPr>
          <w:rFonts w:ascii="Trebuchet MS" w:hAnsi="Trebuchet MS"/>
        </w:rPr>
        <w:t xml:space="preserve">0.12 (95% CI: </w:t>
      </w:r>
      <w:r w:rsidR="00F01DD9">
        <w:rPr>
          <w:rFonts w:ascii="Trebuchet MS" w:hAnsi="Trebuchet MS"/>
        </w:rPr>
        <w:t>0.01</w:t>
      </w:r>
      <w:r w:rsidRPr="002D41E4">
        <w:rPr>
          <w:rFonts w:ascii="Trebuchet MS" w:hAnsi="Trebuchet MS"/>
        </w:rPr>
        <w:t>-</w:t>
      </w:r>
      <w:r w:rsidR="00F01DD9">
        <w:rPr>
          <w:rFonts w:ascii="Trebuchet MS" w:hAnsi="Trebuchet MS"/>
        </w:rPr>
        <w:t>0.96</w:t>
      </w:r>
      <w:r>
        <w:rPr>
          <w:rFonts w:ascii="Trebuchet MS" w:hAnsi="Trebuchet MS"/>
        </w:rPr>
        <w:t xml:space="preserve">), p = </w:t>
      </w:r>
      <w:r w:rsidR="00F01DD9">
        <w:rPr>
          <w:rFonts w:ascii="Trebuchet MS" w:hAnsi="Trebuchet MS"/>
        </w:rPr>
        <w:t>0.045</w:t>
      </w:r>
      <w:r w:rsidRPr="00BA4893">
        <w:rPr>
          <w:rFonts w:ascii="Trebuchet MS" w:eastAsiaTheme="majorEastAsia" w:hAnsi="Trebuchet MS" w:cstheme="majorBidi"/>
          <w:bCs/>
        </w:rPr>
        <w:t>. AMR-gene profiles were broadly similar, with no clear evidence of differential AMR-gene prevalence.</w:t>
      </w:r>
    </w:p>
    <w:p w14:paraId="79D4D379" w14:textId="77777777" w:rsidR="00BA4893" w:rsidRDefault="00BA4893" w:rsidP="00BA4893">
      <w:pPr>
        <w:pStyle w:val="Heading2"/>
      </w:pPr>
      <w:r w:rsidRPr="00BA4893">
        <w:t xml:space="preserve">Conclusions: </w:t>
      </w:r>
    </w:p>
    <w:p w14:paraId="7EEDA2E0" w14:textId="77777777" w:rsidR="00BA4893" w:rsidRDefault="00BA4893" w:rsidP="00BA4893">
      <w:pPr>
        <w:spacing w:line="360" w:lineRule="auto"/>
        <w:rPr>
          <w:rFonts w:ascii="Trebuchet MS" w:eastAsiaTheme="majorEastAsia" w:hAnsi="Trebuchet MS" w:cstheme="majorBidi"/>
          <w:bCs/>
        </w:rPr>
      </w:pPr>
      <w:r w:rsidRPr="00BA4893">
        <w:rPr>
          <w:rFonts w:ascii="Trebuchet MS" w:eastAsiaTheme="majorEastAsia" w:hAnsi="Trebuchet MS" w:cstheme="majorBidi"/>
          <w:bCs/>
        </w:rPr>
        <w:t xml:space="preserve">Contemporaneously sampled nasopharyngeal carriage frequently failed to capture the </w:t>
      </w:r>
      <w:r w:rsidRPr="00BA4893">
        <w:rPr>
          <w:rFonts w:ascii="Trebuchet MS" w:eastAsiaTheme="majorEastAsia" w:hAnsi="Trebuchet MS" w:cstheme="majorBidi"/>
          <w:bCs/>
          <w:i/>
          <w:iCs/>
        </w:rPr>
        <w:t>S. aureus</w:t>
      </w:r>
      <w:r w:rsidRPr="00BA4893">
        <w:rPr>
          <w:rFonts w:ascii="Trebuchet MS" w:eastAsiaTheme="majorEastAsia" w:hAnsi="Trebuchet MS" w:cstheme="majorBidi"/>
          <w:bCs/>
        </w:rPr>
        <w:t xml:space="preserve"> lineage recovered from blood, despite both compartments sharing the same dominant circulating lineages. These findings suggest that patient-level carriage–bloodstream concordance cannot be inferred from population-level lineage similarity </w:t>
      </w:r>
      <w:r w:rsidRPr="00BA4893">
        <w:rPr>
          <w:rFonts w:ascii="Trebuchet MS" w:eastAsiaTheme="majorEastAsia" w:hAnsi="Trebuchet MS" w:cstheme="majorBidi"/>
          <w:bCs/>
        </w:rPr>
        <w:lastRenderedPageBreak/>
        <w:t xml:space="preserve">and highlight the limitations of single-site carriage sampling for investigating the origins of invasive disease. </w:t>
      </w:r>
    </w:p>
    <w:p w14:paraId="48CA0B91" w14:textId="2BBE5831" w:rsidR="003E7E56" w:rsidRPr="00BA4893" w:rsidRDefault="00BA4893" w:rsidP="00B8577A">
      <w:pPr>
        <w:spacing w:line="360" w:lineRule="auto"/>
        <w:rPr>
          <w:rFonts w:ascii="Trebuchet MS" w:eastAsiaTheme="majorEastAsia" w:hAnsi="Trebuchet MS" w:cstheme="majorBidi"/>
          <w:bCs/>
        </w:rPr>
      </w:pPr>
      <w:r w:rsidRPr="00BA4893">
        <w:rPr>
          <w:rFonts w:ascii="Trebuchet MS" w:eastAsiaTheme="majorEastAsia" w:hAnsi="Trebuchet MS" w:cstheme="majorBidi"/>
          <w:bCs/>
        </w:rPr>
        <w:t xml:space="preserve">Higher-resolution genomic analyses and longitudinal multi-site sampling will be important to determine the evolutionary and ecological relationships between colonising and invasive </w:t>
      </w:r>
      <w:r w:rsidRPr="00BA4893">
        <w:rPr>
          <w:rFonts w:ascii="Trebuchet MS" w:eastAsiaTheme="majorEastAsia" w:hAnsi="Trebuchet MS" w:cstheme="majorBidi"/>
          <w:bCs/>
          <w:i/>
          <w:iCs/>
        </w:rPr>
        <w:t>S. aureus</w:t>
      </w:r>
      <w:r w:rsidRPr="00BA4893">
        <w:rPr>
          <w:rFonts w:ascii="Trebuchet MS" w:eastAsiaTheme="majorEastAsia" w:hAnsi="Trebuchet MS" w:cstheme="majorBidi"/>
          <w:bCs/>
        </w:rPr>
        <w:t xml:space="preserve"> populations.</w:t>
      </w:r>
    </w:p>
    <w:p w14:paraId="3218828F" w14:textId="77777777" w:rsidR="00AB7889" w:rsidRPr="00AB7889" w:rsidRDefault="00AB7889" w:rsidP="00AB7889">
      <w:pPr>
        <w:spacing w:line="360" w:lineRule="auto"/>
        <w:rPr>
          <w:rFonts w:ascii="Trebuchet MS" w:hAnsi="Trebuchet MS"/>
          <w:lang w:val="en-GB"/>
        </w:rPr>
      </w:pPr>
      <w:r w:rsidRPr="00AB7889">
        <w:rPr>
          <w:rStyle w:val="Heading2Char"/>
        </w:rPr>
        <w:t>Ethical Approval:</w:t>
      </w:r>
      <w:r w:rsidRPr="00AB7889">
        <w:rPr>
          <w:rFonts w:ascii="Trebuchet MS" w:eastAsiaTheme="majorEastAsia" w:hAnsi="Trebuchet MS" w:cstheme="majorBidi"/>
          <w:b/>
        </w:rPr>
        <w:br/>
      </w:r>
      <w:r w:rsidRPr="00AB7889">
        <w:rPr>
          <w:rFonts w:ascii="Trebuchet MS" w:hAnsi="Trebuchet MS"/>
        </w:rPr>
        <w:t>This project was reviewed and approved by the Gambia Government/MRC Joint Ethics Committee (SCC No: 31142)</w:t>
      </w:r>
      <w:r w:rsidRPr="00AB7889">
        <w:rPr>
          <w:rFonts w:ascii="Trebuchet MS" w:hAnsi="Trebuchet MS"/>
          <w:lang w:val="en-GB"/>
        </w:rPr>
        <w:t xml:space="preserve"> and LSHTM EC (</w:t>
      </w:r>
      <w:r w:rsidRPr="00AB7889">
        <w:rPr>
          <w:rFonts w:ascii="Trebuchet MS" w:hAnsi="Trebuchet MS"/>
        </w:rPr>
        <w:t>LSHTM Ethics Ref: 31142</w:t>
      </w:r>
      <w:r w:rsidRPr="00AB7889">
        <w:rPr>
          <w:rFonts w:ascii="Trebuchet MS" w:hAnsi="Trebuchet MS"/>
          <w:lang w:val="en-GB"/>
        </w:rPr>
        <w:t>)</w:t>
      </w:r>
    </w:p>
    <w:p w14:paraId="2B948ECA" w14:textId="77777777" w:rsidR="00AB7889" w:rsidRPr="00955890" w:rsidRDefault="00AB7889" w:rsidP="00B8577A">
      <w:pPr>
        <w:spacing w:line="360" w:lineRule="auto"/>
        <w:rPr>
          <w:rFonts w:ascii="Trebuchet MS" w:hAnsi="Trebuchet MS"/>
        </w:rPr>
      </w:pPr>
    </w:p>
    <w:sectPr w:rsidR="00AB7889" w:rsidRPr="00955890" w:rsidSect="00B857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oulie Bojang" w:date="2026-09-20T17:43:00Z" w:initials="AB">
    <w:p w14:paraId="3B8B130D" w14:textId="77777777" w:rsidR="00BA4893" w:rsidRDefault="00BA4893" w:rsidP="0084749C">
      <w:r>
        <w:rPr>
          <w:rStyle w:val="CommentReference"/>
        </w:rPr>
        <w:annotationRef/>
      </w:r>
      <w:r>
        <w:rPr>
          <w:sz w:val="20"/>
          <w:szCs w:val="20"/>
        </w:rPr>
        <w:t xml:space="preserve">genetic characteristics? or population structure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B13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2737C8" w16cex:dateUtc="2026-09-20T17:43:00Z">
    <w16cex:extLst>
      <w16:ext w16:uri="{CE6994B0-6A32-4C9F-8C6B-6E91EDA988CE}">
        <cr:reactions xmlns:cr="http://schemas.microsoft.com/office/comments/2020/reactions">
          <cr:reaction reactionType="1">
            <cr:reactionInfo dateUtc="2026-09-28T15:04:49Z">
              <cr:user userId="e3a419481e39bf67" userProvider="Windows Live" userName="Sulayman sow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B130D" w16cid:durableId="682737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1882F" w14:textId="77777777" w:rsidR="000D5208" w:rsidRDefault="000D5208">
      <w:pPr>
        <w:spacing w:line="240" w:lineRule="auto"/>
      </w:pPr>
      <w:r>
        <w:separator/>
      </w:r>
    </w:p>
  </w:endnote>
  <w:endnote w:type="continuationSeparator" w:id="0">
    <w:p w14:paraId="2CE0C620" w14:textId="77777777" w:rsidR="000D5208" w:rsidRDefault="000D52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rebuchet MS">
    <w:altName w:val="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F885" w14:textId="77777777" w:rsidR="000D5208" w:rsidRDefault="000D5208">
      <w:pPr>
        <w:spacing w:after="0"/>
      </w:pPr>
      <w:r>
        <w:separator/>
      </w:r>
    </w:p>
  </w:footnote>
  <w:footnote w:type="continuationSeparator" w:id="0">
    <w:p w14:paraId="01AE1446" w14:textId="77777777" w:rsidR="000D5208" w:rsidRDefault="000D5208">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oulie Bojang">
    <w15:presenceInfo w15:providerId="AD" w15:userId="S::lshab7@lshtm.ac.uk::d0c5b154-a136-455e-b7c9-39f029ce3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EE"/>
    <w:rsid w:val="000247DC"/>
    <w:rsid w:val="000343AC"/>
    <w:rsid w:val="00034D51"/>
    <w:rsid w:val="00067A13"/>
    <w:rsid w:val="000909CE"/>
    <w:rsid w:val="000A2255"/>
    <w:rsid w:val="000A4313"/>
    <w:rsid w:val="000A7B81"/>
    <w:rsid w:val="000C062B"/>
    <w:rsid w:val="000D5208"/>
    <w:rsid w:val="000F42F4"/>
    <w:rsid w:val="001225BA"/>
    <w:rsid w:val="00146BC0"/>
    <w:rsid w:val="001517BB"/>
    <w:rsid w:val="001A04D2"/>
    <w:rsid w:val="001A33EE"/>
    <w:rsid w:val="001B681C"/>
    <w:rsid w:val="001C63A7"/>
    <w:rsid w:val="00200BE4"/>
    <w:rsid w:val="002076A4"/>
    <w:rsid w:val="00223F82"/>
    <w:rsid w:val="002306AE"/>
    <w:rsid w:val="00251F4B"/>
    <w:rsid w:val="00281E32"/>
    <w:rsid w:val="002A005D"/>
    <w:rsid w:val="002B2F79"/>
    <w:rsid w:val="002D41E4"/>
    <w:rsid w:val="002F01B9"/>
    <w:rsid w:val="0032345C"/>
    <w:rsid w:val="0033295F"/>
    <w:rsid w:val="00347C1E"/>
    <w:rsid w:val="003621DC"/>
    <w:rsid w:val="003B600A"/>
    <w:rsid w:val="003B6518"/>
    <w:rsid w:val="003B76A8"/>
    <w:rsid w:val="003E7E56"/>
    <w:rsid w:val="003F5CFA"/>
    <w:rsid w:val="0040382A"/>
    <w:rsid w:val="00461B95"/>
    <w:rsid w:val="0046253C"/>
    <w:rsid w:val="00464DD0"/>
    <w:rsid w:val="00466A1C"/>
    <w:rsid w:val="0048389E"/>
    <w:rsid w:val="004A37C1"/>
    <w:rsid w:val="004B45AE"/>
    <w:rsid w:val="004C738D"/>
    <w:rsid w:val="004D22E5"/>
    <w:rsid w:val="004F3477"/>
    <w:rsid w:val="00511FE8"/>
    <w:rsid w:val="00513F32"/>
    <w:rsid w:val="00534FD4"/>
    <w:rsid w:val="00572105"/>
    <w:rsid w:val="005731B4"/>
    <w:rsid w:val="005976AF"/>
    <w:rsid w:val="005A38E7"/>
    <w:rsid w:val="005A7FB3"/>
    <w:rsid w:val="005B17BB"/>
    <w:rsid w:val="005B2287"/>
    <w:rsid w:val="005B6028"/>
    <w:rsid w:val="005D2BFB"/>
    <w:rsid w:val="005D5DFF"/>
    <w:rsid w:val="0061393C"/>
    <w:rsid w:val="00621907"/>
    <w:rsid w:val="00642DBA"/>
    <w:rsid w:val="006626C6"/>
    <w:rsid w:val="00671013"/>
    <w:rsid w:val="00686CC8"/>
    <w:rsid w:val="00693909"/>
    <w:rsid w:val="006B1203"/>
    <w:rsid w:val="006D65C6"/>
    <w:rsid w:val="00704F40"/>
    <w:rsid w:val="0072437C"/>
    <w:rsid w:val="00732AE6"/>
    <w:rsid w:val="00741D55"/>
    <w:rsid w:val="00744ACB"/>
    <w:rsid w:val="00747397"/>
    <w:rsid w:val="00751F84"/>
    <w:rsid w:val="00752BF1"/>
    <w:rsid w:val="00771A25"/>
    <w:rsid w:val="007856BC"/>
    <w:rsid w:val="007B3CE1"/>
    <w:rsid w:val="007B6CEE"/>
    <w:rsid w:val="007C4D8B"/>
    <w:rsid w:val="007D0F1F"/>
    <w:rsid w:val="007E685E"/>
    <w:rsid w:val="007F4F9B"/>
    <w:rsid w:val="00805D16"/>
    <w:rsid w:val="00820287"/>
    <w:rsid w:val="00824A5E"/>
    <w:rsid w:val="00833E86"/>
    <w:rsid w:val="008451A2"/>
    <w:rsid w:val="008466C0"/>
    <w:rsid w:val="008631C5"/>
    <w:rsid w:val="008807B3"/>
    <w:rsid w:val="008927C0"/>
    <w:rsid w:val="008936B1"/>
    <w:rsid w:val="008C7DE4"/>
    <w:rsid w:val="008D64EB"/>
    <w:rsid w:val="008E67A3"/>
    <w:rsid w:val="00900A54"/>
    <w:rsid w:val="009079BC"/>
    <w:rsid w:val="009124ED"/>
    <w:rsid w:val="009300CE"/>
    <w:rsid w:val="00943B41"/>
    <w:rsid w:val="00950617"/>
    <w:rsid w:val="00955890"/>
    <w:rsid w:val="00980CE0"/>
    <w:rsid w:val="009918EA"/>
    <w:rsid w:val="009A3AD5"/>
    <w:rsid w:val="009E403B"/>
    <w:rsid w:val="009F0CC2"/>
    <w:rsid w:val="00A53C11"/>
    <w:rsid w:val="00A776BE"/>
    <w:rsid w:val="00A92C88"/>
    <w:rsid w:val="00A9358A"/>
    <w:rsid w:val="00AB7889"/>
    <w:rsid w:val="00AD21C0"/>
    <w:rsid w:val="00AE3338"/>
    <w:rsid w:val="00B26569"/>
    <w:rsid w:val="00B44D89"/>
    <w:rsid w:val="00B515C3"/>
    <w:rsid w:val="00B52076"/>
    <w:rsid w:val="00B65709"/>
    <w:rsid w:val="00B8577A"/>
    <w:rsid w:val="00BA0BD0"/>
    <w:rsid w:val="00BA4893"/>
    <w:rsid w:val="00BF7C39"/>
    <w:rsid w:val="00C333BB"/>
    <w:rsid w:val="00C35F9D"/>
    <w:rsid w:val="00C63B7C"/>
    <w:rsid w:val="00C65DC4"/>
    <w:rsid w:val="00C6774D"/>
    <w:rsid w:val="00C7544E"/>
    <w:rsid w:val="00CC0360"/>
    <w:rsid w:val="00CC142D"/>
    <w:rsid w:val="00CD3760"/>
    <w:rsid w:val="00CE14BA"/>
    <w:rsid w:val="00CE6DF1"/>
    <w:rsid w:val="00D2254C"/>
    <w:rsid w:val="00D36306"/>
    <w:rsid w:val="00D46994"/>
    <w:rsid w:val="00D6058B"/>
    <w:rsid w:val="00D75511"/>
    <w:rsid w:val="00D86A90"/>
    <w:rsid w:val="00DA09EB"/>
    <w:rsid w:val="00DC0753"/>
    <w:rsid w:val="00DC524C"/>
    <w:rsid w:val="00DC7BCA"/>
    <w:rsid w:val="00DD2425"/>
    <w:rsid w:val="00DD6844"/>
    <w:rsid w:val="00DF02D4"/>
    <w:rsid w:val="00DF5FD3"/>
    <w:rsid w:val="00E24340"/>
    <w:rsid w:val="00E437AD"/>
    <w:rsid w:val="00E451ED"/>
    <w:rsid w:val="00E875BC"/>
    <w:rsid w:val="00EA6C38"/>
    <w:rsid w:val="00F01DD9"/>
    <w:rsid w:val="00F4058F"/>
    <w:rsid w:val="00F41883"/>
    <w:rsid w:val="00F568B0"/>
    <w:rsid w:val="00F74AFD"/>
    <w:rsid w:val="00F872C7"/>
    <w:rsid w:val="00F973CE"/>
    <w:rsid w:val="00FA519D"/>
    <w:rsid w:val="00FB3CEF"/>
    <w:rsid w:val="00FC4DF0"/>
    <w:rsid w:val="00FE2F60"/>
    <w:rsid w:val="00FF534D"/>
    <w:rsid w:val="156A7EBD"/>
    <w:rsid w:val="6FE4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18C6D"/>
  <w15:docId w15:val="{447F17DC-A856-4D71-9D9A-4B319DD14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AB7889"/>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467886"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b/>
      <w:spacing w:val="-10"/>
      <w:kern w:val="28"/>
      <w:sz w:val="28"/>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AB7889"/>
    <w:rPr>
      <w:rFonts w:asciiTheme="majorHAnsi" w:eastAsiaTheme="majorEastAsia" w:hAnsiTheme="majorHAnsi" w:cstheme="majorBidi"/>
      <w:b/>
      <w:kern w:val="2"/>
      <w:sz w:val="24"/>
      <w:szCs w:val="32"/>
      <w14:ligatures w14:val="standardContextual"/>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b/>
      <w:spacing w:val="-10"/>
      <w:kern w:val="28"/>
      <w:sz w:val="28"/>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CommentReference">
    <w:name w:val="annotation reference"/>
    <w:basedOn w:val="DefaultParagraphFont"/>
    <w:unhideWhenUsed/>
    <w:qFormat/>
    <w:rPr>
      <w:sz w:val="16"/>
      <w:szCs w:val="16"/>
    </w:rPr>
  </w:style>
  <w:style w:type="table" w:styleId="TableGrid">
    <w:name w:val="Table Grid"/>
    <w:basedOn w:val="TableNormal"/>
    <w:uiPriority w:val="39"/>
    <w:rsid w:val="003F5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bdoulie.bojang@lshtm.ac.uk" TargetMode="External"/><Relationship Id="rId11" Type="http://schemas.openxmlformats.org/officeDocument/2006/relationships/fontTable" Target="fontTable.xml"/><Relationship Id="rId5" Type="http://schemas.openxmlformats.org/officeDocument/2006/relationships/endnotes" Target="endnotes.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1390</TotalTime>
  <Pages>3</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Sulayman sowe</dc:creator>
  <cp:lastModifiedBy>Sulayman sowe</cp:lastModifiedBy>
  <cp:revision>150</cp:revision>
  <cp:lastPrinted>2026-07-31T21:02:00Z</cp:lastPrinted>
  <dcterms:created xsi:type="dcterms:W3CDTF">2026-07-30T11:08:00Z</dcterms:created>
  <dcterms:modified xsi:type="dcterms:W3CDTF">2026-09-28T15:05:00Z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eyJoZGlkIjoiZDQyZjI4ZTc0NDEyYjJiZTA1NjYyY2MxNjVkMDA0OGIiLCJ1c2VySWQiOiI1NjcwMjcxNTI0NjMifQ==</vt:lpwstr>
  </property>
  <property fmtid="{D5CDD505-2E9C-101B-9397-08002B2CF9AE}" pid="3" name="KSOProductBuildVer">
    <vt:lpwstr>1033-12.1.0.28032</vt:lpwstr>
  </property>
  <property fmtid="{D5CDD505-2E9C-101B-9397-08002B2CF9AE}" pid="4" name="ICV">
    <vt:lpwstr>F14DA9285DD14F5D8F18573326215ABC_12</vt:lpwstr>
  </property>
</Properties>
</file>