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80" w:after="80"/>
        <w:jc w:val="center"/>
      </w:pPr>
      <w:r>
        <w:rPr>
          <w:rFonts w:ascii="Arial" w:cs="Arial" w:eastAsia="Arial" w:hAnsi="Arial"/>
          <w:b/>
          <w:bCs/>
          <w:color w:val="1A3E6E"/>
          <w:sz w:val="60"/>
          <w:szCs w:val="60"/>
        </w:rPr>
        <w:t xml:space="preserve">MedGemma Deep Research Agent</w:t>
      </w:r>
    </w:p>
    <w:p>
      <w:pPr>
        <w:spacing w:after="60"/>
        <w:jc w:val="center"/>
      </w:pPr>
      <w:r>
        <w:rPr>
          <w:rFonts w:ascii="Arial" w:cs="Arial" w:eastAsia="Arial" w:hAnsi="Arial"/>
          <w:i/>
          <w:iCs/>
          <w:color w:val="555555"/>
          <w:sz w:val="26"/>
          <w:szCs w:val="26"/>
        </w:rPr>
        <w:t xml:space="preserve">Multimodal Maternal-Fetal Risk Triage with Health Equity Analysis</w:t>
      </w:r>
    </w:p>
    <w:p>
      <w:pPr>
        <w:spacing w:after="60"/>
        <w:jc w:val="center"/>
      </w:pPr>
      <w:r>
        <w:rPr>
          <w:rFonts w:ascii="Arial" w:cs="Arial" w:eastAsia="Arial" w:hAnsi="Arial"/>
          <w:i/>
          <w:iCs/>
          <w:color w:val="555555"/>
          <w:sz w:val="26"/>
          <w:szCs w:val="26"/>
        </w:rPr>
        <w:t xml:space="preserve">MedGemma Impact Challenge  ·  Kaggle 2025–2026</w:t>
      </w:r>
    </w:p>
    <w:p>
      <w:pPr>
        <w:spacing w:after="120"/>
      </w:pPr>
      <w:r>
        <w:t xml:space="preserve"/>
      </w:r>
    </w:p>
    <w:p>
      <w:pPr>
        <w:pBdr>
          <w:top w:val="single" w:color="1A7A6E" w:sz="6"/>
          <w:bottom w:val="single" w:color="1A7A6E" w:sz="6"/>
        </w:pBdr>
        <w:shd w:fill="D6E9F8" w:val="clear"/>
        <w:spacing w:before="80" w:after="80"/>
        <w:ind w:left="200" w:right="200"/>
        <w:jc w:val="center"/>
      </w:pPr>
      <w:r>
        <w:rPr>
          <w:rFonts w:ascii="Arial" w:cs="Arial" w:eastAsia="Arial" w:hAnsi="Arial"/>
          <w:i/>
          <w:iCs/>
          <w:color w:val="1A3E6E"/>
          <w:sz w:val="24"/>
          <w:szCs w:val="24"/>
        </w:rPr>
        <w:t xml:space="preserve">A four-phase AI agent that reads real fetal ultrasound images, cross-references clinical records, validates for health equity, and outputs structured risk assessments — running entirely on a single free GPU.</w:t>
      </w:r>
    </w:p>
    <w:p>
      <w:pPr>
        <w:spacing w:after="200"/>
      </w:pPr>
      <w:r>
        <w:t xml:space="preserve"/>
      </w:r>
    </w:p>
    <w:p>
      <w:pPr>
        <w:pStyle w:val="Heading1"/>
        <w:shd w:fill="1A3E6E" w:val="clear"/>
        <w:spacing w:before="320" w:after="160"/>
        <w:ind w:left="120" w:right="120"/>
      </w:pPr>
      <w:r>
        <w:rPr>
          <w:rFonts w:ascii="Arial" w:cs="Arial" w:eastAsia="Arial" w:hAnsi="Arial"/>
          <w:b/>
          <w:bCs/>
          <w:color w:val="FFFFFF"/>
          <w:sz w:val="28"/>
          <w:szCs w:val="28"/>
        </w:rPr>
        <w:t xml:space="preserve">1.  Problem Statement &amp; Motivation</w:t>
      </w:r>
    </w:p>
    <w:p>
      <w:pPr>
        <w:spacing w:after="60"/>
      </w:pPr>
      <w:r>
        <w:t xml:space="preserve"/>
      </w:r>
    </w:p>
    <w:p>
      <w:pPr>
        <w:spacing w:after="140"/>
        <w:jc w:val="both"/>
      </w:pPr>
      <w:r>
        <w:rPr>
          <w:rFonts w:ascii="Arial" w:cs="Arial" w:eastAsia="Arial" w:hAnsi="Arial"/>
          <w:color w:val="111111"/>
          <w:sz w:val="22"/>
          <w:szCs w:val="22"/>
        </w:rPr>
        <w:t xml:space="preserve">Maternal and fetal mortality remains stubbornly high in under-resourced clinical settings, and the disparity is not evenly distributed. Black, Indigenous, and rural women in the United States experience maternal mortality rates two to four times higher than their white urban counterparts — a gap driven not only by clinical risk factors but by unequal access to timely, accurate risk stratification. When a radiographer in a rural community hospital identifies an unusual fetal ultrasound finding, the downstream question — how urgent is this? — may go unanswered for hours or days while a specialist referral is awaited.</w:t>
      </w:r>
    </w:p>
    <w:p>
      <w:pPr>
        <w:spacing w:after="140"/>
        <w:jc w:val="both"/>
      </w:pPr>
      <w:r>
        <w:rPr>
          <w:rFonts w:ascii="Arial" w:cs="Arial" w:eastAsia="Arial" w:hAnsi="Arial"/>
          <w:color w:val="111111"/>
          <w:sz w:val="22"/>
          <w:szCs w:val="22"/>
        </w:rPr>
        <w:t xml:space="preserve">This project addresses that specific moment. The MedGemma Deep Research Agent is a four-phase multimodal AI system that processes a real fetal ultrasound image alongside structured clinical data and patient demographics, and produces a graded risk assessment (HIGH / MODERATE / LOW) with explicit equity checks built into the inference pipeline. It uses google/medgemma-4b-it — Google's Health AI Developer Foundations multimodal model — which combines a SigLIP vision encoder pretrained on medical imagery with a 4-billion-parameter language model fine-tuned on clinical text.</w:t>
      </w:r>
    </w:p>
    <w:p>
      <w:pPr>
        <w:spacing w:after="140"/>
        <w:jc w:val="both"/>
      </w:pPr>
      <w:r>
        <w:rPr>
          <w:rFonts w:ascii="Arial" w:cs="Arial" w:eastAsia="Arial" w:hAnsi="Arial"/>
          <w:color w:val="111111"/>
          <w:sz w:val="22"/>
          <w:szCs w:val="22"/>
        </w:rPr>
        <w:t xml:space="preserve">Unlike general-purpose vision-language models, MedGemma has been exposed to radiology reports, pathology slides, and clinical notes during pretraining, giving it a meaningful prior for interpreting ultrasound findings in the context of clinical narratives. This project exploits that prior systematically through a structured multi-phase reasoning pipeline, rather than asking the model for a single unconditioned classification.</w:t>
      </w:r>
    </w:p>
    <w:p>
      <w:pPr>
        <w:spacing w:after="80"/>
      </w:pPr>
      <w:r>
        <w:t xml:space="preserve"/>
      </w:r>
    </w:p>
    <w:p>
      <w:pPr>
        <w:pStyle w:val="Heading2"/>
        <w:pBdr>
          <w:bottom w:val="single" w:color="1A7A6E" w:sz="4" w:space="1"/>
        </w:pBdr>
        <w:spacing w:before="200" w:after="80"/>
      </w:pPr>
      <w:r>
        <w:rPr>
          <w:rFonts w:ascii="Arial" w:cs="Arial" w:eastAsia="Arial" w:hAnsi="Arial"/>
          <w:b/>
          <w:bCs/>
          <w:color w:val="1A3E6E"/>
          <w:sz w:val="24"/>
          <w:szCs w:val="24"/>
        </w:rPr>
        <w:t xml:space="preserve">1.1  Target Use Cases</w:t>
      </w:r>
    </w:p>
    <w:p>
      <w:pPr>
        <w:pStyle w:val="ListParagraph"/>
        <w:numPr>
          <w:ilvl w:val="0"/>
          <w:numId w:val="2"/>
        </w:numPr>
        <w:spacing w:after="60"/>
      </w:pPr>
      <w:r>
        <w:rPr>
          <w:rFonts w:ascii="Arial" w:cs="Arial" w:eastAsia="Arial" w:hAnsi="Arial"/>
          <w:color w:val="111111"/>
          <w:sz w:val="22"/>
          <w:szCs w:val="22"/>
        </w:rPr>
        <w:t xml:space="preserve">Rural community hospitals: rapid triage without on-call specialist availability</w:t>
      </w:r>
    </w:p>
    <w:p>
      <w:pPr>
        <w:pStyle w:val="ListParagraph"/>
        <w:numPr>
          <w:ilvl w:val="0"/>
          <w:numId w:val="2"/>
        </w:numPr>
        <w:spacing w:after="60"/>
      </w:pPr>
      <w:r>
        <w:rPr>
          <w:rFonts w:ascii="Arial" w:cs="Arial" w:eastAsia="Arial" w:hAnsi="Arial"/>
          <w:color w:val="111111"/>
          <w:sz w:val="22"/>
          <w:szCs w:val="22"/>
        </w:rPr>
        <w:t xml:space="preserve">Midwifery and community health worker support tools in low-resource settings</w:t>
      </w:r>
    </w:p>
    <w:p>
      <w:pPr>
        <w:pStyle w:val="ListParagraph"/>
        <w:numPr>
          <w:ilvl w:val="0"/>
          <w:numId w:val="2"/>
        </w:numPr>
        <w:spacing w:after="60"/>
      </w:pPr>
      <w:r>
        <w:rPr>
          <w:rFonts w:ascii="Arial" w:cs="Arial" w:eastAsia="Arial" w:hAnsi="Arial"/>
          <w:color w:val="111111"/>
          <w:sz w:val="22"/>
          <w:szCs w:val="22"/>
        </w:rPr>
        <w:t xml:space="preserve">Continuing medical education: structured reasoning explanations for trainees</w:t>
      </w:r>
    </w:p>
    <w:p>
      <w:pPr>
        <w:pStyle w:val="ListParagraph"/>
        <w:numPr>
          <w:ilvl w:val="0"/>
          <w:numId w:val="2"/>
        </w:numPr>
        <w:spacing w:after="60"/>
      </w:pPr>
      <w:r>
        <w:rPr>
          <w:rFonts w:ascii="Arial" w:cs="Arial" w:eastAsia="Arial" w:hAnsi="Arial"/>
          <w:color w:val="111111"/>
          <w:sz w:val="22"/>
          <w:szCs w:val="22"/>
        </w:rPr>
        <w:t xml:space="preserve">Quality assurance: equity monitoring across demographic subgroups at scan audit</w:t>
      </w:r>
    </w:p>
    <w:p>
      <w:pPr>
        <w:spacing w:after="100"/>
      </w:pPr>
      <w:r>
        <w:t xml:space="preserve"/>
      </w:r>
    </w:p>
    <w:p>
      <w:pPr>
        <w:pStyle w:val="Heading1"/>
        <w:shd w:fill="1A3E6E" w:val="clear"/>
        <w:spacing w:before="320" w:after="160"/>
        <w:ind w:left="120" w:right="120"/>
      </w:pPr>
      <w:r>
        <w:rPr>
          <w:rFonts w:ascii="Arial" w:cs="Arial" w:eastAsia="Arial" w:hAnsi="Arial"/>
          <w:b/>
          <w:bCs/>
          <w:color w:val="FFFFFF"/>
          <w:sz w:val="28"/>
          <w:szCs w:val="28"/>
        </w:rPr>
        <w:t xml:space="preserve">2.  Technical Architecture</w:t>
      </w:r>
    </w:p>
    <w:p>
      <w:pPr>
        <w:spacing w:after="60"/>
      </w:pPr>
      <w:r>
        <w:t xml:space="preserve"/>
      </w:r>
    </w:p>
    <w:p>
      <w:pPr>
        <w:pStyle w:val="Heading2"/>
        <w:pBdr>
          <w:bottom w:val="single" w:color="1A7A6E" w:sz="4" w:space="1"/>
        </w:pBdr>
        <w:spacing w:before="200" w:after="80"/>
      </w:pPr>
      <w:r>
        <w:rPr>
          <w:rFonts w:ascii="Arial" w:cs="Arial" w:eastAsia="Arial" w:hAnsi="Arial"/>
          <w:b/>
          <w:bCs/>
          <w:color w:val="1A3E6E"/>
          <w:sz w:val="24"/>
          <w:szCs w:val="24"/>
        </w:rPr>
        <w:t xml:space="preserve">2.1  Four-Phase Agent Pipeline</w:t>
      </w:r>
    </w:p>
    <w:p>
      <w:pPr>
        <w:spacing w:after="140"/>
        <w:jc w:val="both"/>
      </w:pPr>
      <w:r>
        <w:rPr>
          <w:rFonts w:ascii="Arial" w:cs="Arial" w:eastAsia="Arial" w:hAnsi="Arial"/>
          <w:color w:val="111111"/>
          <w:sz w:val="22"/>
          <w:szCs w:val="22"/>
        </w:rPr>
        <w:t xml:space="preserve">The agent's design separates concerns across four sequential phases. Each phase uses a distinct prompt structure targeting a specific clinical reasoning task:</w:t>
      </w:r>
    </w:p>
    <w:p>
      <w:pPr>
        <w:spacing w:after="40"/>
      </w:pPr>
      <w:r>
        <w:t xml:space="preserve"/>
      </w:r>
    </w:p>
    <w:p>
      <w:pPr>
        <w:pBdr>
          <w:left w:val="single" w:color="1A3E6E" w:sz="12" w:space="8"/>
        </w:pBdr>
        <w:spacing w:after="80"/>
        <w:ind w:left="360"/>
      </w:pPr>
      <w:r>
        <w:rPr>
          <w:rFonts w:ascii="Arial" w:cs="Arial" w:eastAsia="Arial" w:hAnsi="Arial"/>
          <w:b/>
          <w:bCs/>
          <w:color w:val="1A3E6E"/>
          <w:sz w:val="22"/>
          <w:szCs w:val="22"/>
        </w:rPr>
        <w:t xml:space="preserve">Phase 1  </w:t>
      </w:r>
      <w:r>
        <w:rPr>
          <w:rFonts w:ascii="Arial" w:cs="Arial" w:eastAsia="Arial" w:hAnsi="Arial"/>
          <w:b/>
          <w:bCs/>
          <w:color w:val="111111"/>
          <w:sz w:val="22"/>
          <w:szCs w:val="22"/>
        </w:rPr>
        <w:t xml:space="preserve">Visual Perception — </w:t>
      </w:r>
      <w:r>
        <w:rPr>
          <w:rFonts w:ascii="Arial" w:cs="Arial" w:eastAsia="Arial" w:hAnsi="Arial"/>
          <w:color w:val="555555"/>
          <w:sz w:val="22"/>
          <w:szCs w:val="22"/>
        </w:rPr>
        <w:t xml:space="preserve">MedGemma vision encoder reads real ultrasound pixels</w:t>
      </w:r>
    </w:p>
    <w:p>
      <w:pPr>
        <w:pBdr>
          <w:left w:val="single" w:color="1A5276" w:sz="12" w:space="8"/>
        </w:pBdr>
        <w:spacing w:after="80"/>
        <w:ind w:left="360"/>
      </w:pPr>
      <w:r>
        <w:rPr>
          <w:rFonts w:ascii="Arial" w:cs="Arial" w:eastAsia="Arial" w:hAnsi="Arial"/>
          <w:b/>
          <w:bCs/>
          <w:color w:val="1A3E6E"/>
          <w:sz w:val="22"/>
          <w:szCs w:val="22"/>
        </w:rPr>
        <w:t xml:space="preserve">Phase 2  </w:t>
      </w:r>
      <w:r>
        <w:rPr>
          <w:rFonts w:ascii="Arial" w:cs="Arial" w:eastAsia="Arial" w:hAnsi="Arial"/>
          <w:b/>
          <w:bCs/>
          <w:color w:val="111111"/>
          <w:sz w:val="22"/>
          <w:szCs w:val="22"/>
        </w:rPr>
        <w:t xml:space="preserve">Clinical Correlation — </w:t>
      </w:r>
      <w:r>
        <w:rPr>
          <w:rFonts w:ascii="Arial" w:cs="Arial" w:eastAsia="Arial" w:hAnsi="Arial"/>
          <w:color w:val="555555"/>
          <w:sz w:val="22"/>
          <w:szCs w:val="22"/>
        </w:rPr>
        <w:t xml:space="preserve">Cross-reference imaging with EHR: notes, history, symptoms</w:t>
      </w:r>
    </w:p>
    <w:p>
      <w:pPr>
        <w:pBdr>
          <w:left w:val="single" w:color="1A7A6E" w:sz="12" w:space="8"/>
        </w:pBdr>
        <w:spacing w:after="80"/>
        <w:ind w:left="360"/>
      </w:pPr>
      <w:r>
        <w:rPr>
          <w:rFonts w:ascii="Arial" w:cs="Arial" w:eastAsia="Arial" w:hAnsi="Arial"/>
          <w:b/>
          <w:bCs/>
          <w:color w:val="1A3E6E"/>
          <w:sz w:val="22"/>
          <w:szCs w:val="22"/>
        </w:rPr>
        <w:t xml:space="preserve">Phase 3  </w:t>
      </w:r>
      <w:r>
        <w:rPr>
          <w:rFonts w:ascii="Arial" w:cs="Arial" w:eastAsia="Arial" w:hAnsi="Arial"/>
          <w:b/>
          <w:bCs/>
          <w:color w:val="111111"/>
          <w:sz w:val="22"/>
          <w:szCs w:val="22"/>
        </w:rPr>
        <w:t xml:space="preserve">Equity Validation — </w:t>
      </w:r>
      <w:r>
        <w:rPr>
          <w:rFonts w:ascii="Arial" w:cs="Arial" w:eastAsia="Arial" w:hAnsi="Arial"/>
          <w:color w:val="555555"/>
          <w:sz w:val="22"/>
          <w:szCs w:val="22"/>
        </w:rPr>
        <w:t xml:space="preserve">SDOH-aware layer: race, geography, insurance access</w:t>
      </w:r>
    </w:p>
    <w:p>
      <w:pPr>
        <w:pBdr>
          <w:left w:val="single" w:color="1E8449" w:sz="12" w:space="8"/>
        </w:pBdr>
        <w:spacing w:after="80"/>
        <w:ind w:left="360"/>
      </w:pPr>
      <w:r>
        <w:rPr>
          <w:rFonts w:ascii="Arial" w:cs="Arial" w:eastAsia="Arial" w:hAnsi="Arial"/>
          <w:b/>
          <w:bCs/>
          <w:color w:val="1A3E6E"/>
          <w:sz w:val="22"/>
          <w:szCs w:val="22"/>
        </w:rPr>
        <w:t xml:space="preserve">Phase 4  </w:t>
      </w:r>
      <w:r>
        <w:rPr>
          <w:rFonts w:ascii="Arial" w:cs="Arial" w:eastAsia="Arial" w:hAnsi="Arial"/>
          <w:b/>
          <w:bCs/>
          <w:color w:val="111111"/>
          <w:sz w:val="22"/>
          <w:szCs w:val="22"/>
        </w:rPr>
        <w:t xml:space="preserve">Risk Stratification — </w:t>
      </w:r>
      <w:r>
        <w:rPr>
          <w:rFonts w:ascii="Arial" w:cs="Arial" w:eastAsia="Arial" w:hAnsi="Arial"/>
          <w:color w:val="555555"/>
          <w:sz w:val="22"/>
          <w:szCs w:val="22"/>
        </w:rPr>
        <w:t xml:space="preserve">Structured HIGH / MODERATE / LOW + confidence score</w:t>
      </w:r>
    </w:p>
    <w:p>
      <w:pPr>
        <w:spacing w:after="100"/>
      </w:pPr>
      <w:r>
        <w:t xml:space="preserve"/>
      </w:r>
    </w:p>
    <w:p>
      <w:pPr>
        <w:spacing w:after="140"/>
        <w:jc w:val="both"/>
      </w:pPr>
      <w:r>
        <w:rPr>
          <w:rFonts w:ascii="Arial" w:cs="Arial" w:eastAsia="Arial" w:hAnsi="Arial"/>
          <w:color w:val="111111"/>
          <w:sz w:val="22"/>
          <w:szCs w:val="22"/>
        </w:rPr>
        <w:t xml:space="preserve">Phase 1 is the only phase that consumes the image. The MedGemma processor encodes the 448×448 ultrasound into visual tokens which are concatenated with the text prompt tokens before being passed to the language model. Phases 2–4 are text-only chains that progressively build context: Phase 2 grounds the visual output in structured clinical data; Phase 3 examines social determinants of health; Phase 4 synthesises all three into a parseable structured output using a strict regex-extracted template.</w:t>
      </w:r>
    </w:p>
    <w:p>
      <w:pPr>
        <w:spacing w:after="80"/>
      </w:pPr>
      <w:r>
        <w:t xml:space="preserve"/>
      </w:r>
    </w:p>
    <w:p>
      <w:pPr>
        <w:pStyle w:val="Heading2"/>
        <w:pBdr>
          <w:bottom w:val="single" w:color="1A7A6E" w:sz="4" w:space="1"/>
        </w:pBdr>
        <w:spacing w:before="200" w:after="80"/>
      </w:pPr>
      <w:r>
        <w:rPr>
          <w:rFonts w:ascii="Arial" w:cs="Arial" w:eastAsia="Arial" w:hAnsi="Arial"/>
          <w:b/>
          <w:bCs/>
          <w:color w:val="1A3E6E"/>
          <w:sz w:val="24"/>
          <w:szCs w:val="24"/>
        </w:rPr>
        <w:t xml:space="preserve">2.2  Dataset &amp; Image Pipeline</w:t>
      </w:r>
    </w:p>
    <w:p>
      <w:pPr>
        <w:spacing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CCCCCC" w:sz="1"/>
              <w:left w:val="single" w:color="CCCCCC" w:sz="1"/>
              <w:bottom w:val="single" w:color="CCCCCC" w:sz="1"/>
              <w:right w:val="single" w:color="CCCCCC" w:sz="1"/>
            </w:tcBorders>
            <w:shd w:fill="1A3E6E"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6160"/>
            <w:tcBorders>
              <w:top w:val="single" w:color="CCCCCC" w:sz="1"/>
              <w:left w:val="single" w:color="CCCCCC" w:sz="1"/>
              <w:bottom w:val="single" w:color="CCCCCC" w:sz="1"/>
              <w:right w:val="single" w:color="CCCCCC" w:sz="1"/>
            </w:tcBorders>
            <w:shd w:fill="1A3E6E"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Primary dataset</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Fetal Planes DB — 12,400 annotated fetal ultrasound images (6 planes)</w:t>
            </w:r>
          </w:p>
        </w:tc>
      </w:tr>
      <w:tr>
        <w:tc>
          <w:tcPr>
            <w:tcW w:type="dxa" w:w="32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color w:val="111111"/>
                <w:sz w:val="20"/>
                <w:szCs w:val="20"/>
              </w:rPr>
              <w:t xml:space="preserve">HuggingFace source</w:t>
            </w:r>
          </w:p>
        </w:tc>
        <w:tc>
          <w:tcPr>
            <w:tcW w:type="dxa" w:w="616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color w:val="111111"/>
                <w:sz w:val="20"/>
                <w:szCs w:val="20"/>
              </w:rPr>
              <w:t xml:space="preserve">Idan0405/Fetal_Planes_DB — automatic download if Kaggle not available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Fallback</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MedMNIST BreastMNIST — real ultrasound, zero synthetic images</w:t>
            </w:r>
          </w:p>
        </w:tc>
      </w:tr>
      <w:tr>
        <w:tc>
          <w:tcPr>
            <w:tcW w:type="dxa" w:w="32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color w:val="111111"/>
                <w:sz w:val="20"/>
                <w:szCs w:val="20"/>
              </w:rPr>
              <w:t xml:space="preserve">Target resolution</w:t>
            </w:r>
          </w:p>
        </w:tc>
        <w:tc>
          <w:tcPr>
            <w:tcW w:type="dxa" w:w="616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color w:val="111111"/>
                <w:sz w:val="20"/>
                <w:szCs w:val="20"/>
              </w:rPr>
              <w:t xml:space="preserve">448 × 448 RGB (MedGemma SigLIP encoder native size)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Preprocessing</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Gaussian despeckle (σ=0.8) → PIL CLAHE (contrast ×2.0, sharpness ×1.5)</w:t>
            </w:r>
          </w:p>
        </w:tc>
      </w:tr>
      <w:tr>
        <w:tc>
          <w:tcPr>
            <w:tcW w:type="dxa" w:w="32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color w:val="111111"/>
                <w:sz w:val="20"/>
                <w:szCs w:val="20"/>
              </w:rPr>
              <w:t xml:space="preserve">Risk derivation</w:t>
            </w:r>
          </w:p>
        </w:tc>
        <w:tc>
          <w:tcPr>
            <w:tcW w:type="dxa" w:w="616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color w:val="111111"/>
                <w:sz w:val="20"/>
                <w:szCs w:val="20"/>
              </w:rPr>
              <w:t xml:space="preserve">Brain/cervix → HIGH; Abdomen/thorax → MODERATE; Femur/other → LOW</w:t>
            </w:r>
          </w:p>
        </w:tc>
      </w:tr>
    </w:tbl>
    <w:p>
      <w:pPr>
        <w:spacing w:after="80"/>
      </w:pPr>
      <w:r>
        <w:t xml:space="preserve"/>
      </w:r>
    </w:p>
    <w:p>
      <w:pPr>
        <w:pStyle w:val="Heading2"/>
        <w:pBdr>
          <w:bottom w:val="single" w:color="1A7A6E" w:sz="4" w:space="1"/>
        </w:pBdr>
        <w:spacing w:before="200" w:after="80"/>
      </w:pPr>
      <w:r>
        <w:rPr>
          <w:rFonts w:ascii="Arial" w:cs="Arial" w:eastAsia="Arial" w:hAnsi="Arial"/>
          <w:b/>
          <w:bCs/>
          <w:color w:val="1A3E6E"/>
          <w:sz w:val="24"/>
          <w:szCs w:val="24"/>
        </w:rPr>
        <w:t xml:space="preserve">2.3  Equity Monitoring Layer</w:t>
      </w:r>
    </w:p>
    <w:p>
      <w:pPr>
        <w:spacing w:after="140"/>
        <w:jc w:val="both"/>
      </w:pPr>
      <w:r>
        <w:rPr>
          <w:rFonts w:ascii="Arial" w:cs="Arial" w:eastAsia="Arial" w:hAnsi="Arial"/>
          <w:color w:val="111111"/>
          <w:sz w:val="22"/>
          <w:szCs w:val="22"/>
        </w:rPr>
        <w:t xml:space="preserve">Most medical AI systems report a single aggregate accuracy figure. This agent reports three equity sub-metrics computed on every evaluation run:</w:t>
      </w:r>
    </w:p>
    <w:p>
      <w:pPr>
        <w:pStyle w:val="ListParagraph"/>
        <w:numPr>
          <w:ilvl w:val="0"/>
          <w:numId w:val="2"/>
        </w:numPr>
        <w:spacing w:after="60"/>
      </w:pPr>
      <w:r>
        <w:rPr>
          <w:rFonts w:ascii="Arial" w:cs="Arial" w:eastAsia="Arial" w:hAnsi="Arial"/>
          <w:color w:val="111111"/>
          <w:sz w:val="22"/>
          <w:szCs w:val="22"/>
        </w:rPr>
        <w:t xml:space="preserve">Geographic equity — rural vs urban accuracy gap (threshold ≤ 5% for 'equitable')</w:t>
      </w:r>
    </w:p>
    <w:p>
      <w:pPr>
        <w:pStyle w:val="ListParagraph"/>
        <w:numPr>
          <w:ilvl w:val="0"/>
          <w:numId w:val="2"/>
        </w:numPr>
        <w:spacing w:after="60"/>
      </w:pPr>
      <w:r>
        <w:rPr>
          <w:rFonts w:ascii="Arial" w:cs="Arial" w:eastAsia="Arial" w:hAnsi="Arial"/>
          <w:color w:val="111111"/>
          <w:sz w:val="22"/>
          <w:szCs w:val="22"/>
        </w:rPr>
        <w:t xml:space="preserve">Racial/ethnic equity — max accuracy gap across 10 demographic groups (threshold ≤ 10%)</w:t>
      </w:r>
    </w:p>
    <w:p>
      <w:pPr>
        <w:pStyle w:val="ListParagraph"/>
        <w:numPr>
          <w:ilvl w:val="0"/>
          <w:numId w:val="2"/>
        </w:numPr>
        <w:spacing w:after="60"/>
      </w:pPr>
      <w:r>
        <w:rPr>
          <w:rFonts w:ascii="Arial" w:cs="Arial" w:eastAsia="Arial" w:hAnsi="Arial"/>
          <w:color w:val="111111"/>
          <w:sz w:val="22"/>
          <w:szCs w:val="22"/>
        </w:rPr>
        <w:t xml:space="preserve">Insurance equity — breakdown by Medicaid / Private / IHS / Uninsured (reported, no threshold)</w:t>
      </w:r>
    </w:p>
    <w:p>
      <w:pPr>
        <w:spacing w:after="140"/>
        <w:jc w:val="both"/>
      </w:pPr>
      <w:r>
        <w:rPr>
          <w:rFonts w:ascii="Arial" w:cs="Arial" w:eastAsia="Arial" w:hAnsi="Arial"/>
          <w:color w:val="111111"/>
          <w:sz w:val="22"/>
          <w:szCs w:val="22"/>
        </w:rPr>
        <w:t xml:space="preserve">Synthetic demographics from a 10-group pool are attached to every training and test case. This allows the agent to be explicitly prompted in Phase 3 to consider how SDOH may affect its recommendation — for example, flagging that a Medicaid-insured rural patient may face longer wait times for specialist referral and therefore requires a more conservative management threshold.</w:t>
      </w:r>
    </w:p>
    <w:p>
      <w:pPr>
        <w:spacing w:after="80"/>
      </w:pPr>
      <w:r>
        <w:t xml:space="preserve"/>
      </w:r>
    </w:p>
    <w:p>
      <w:pPr>
        <w:spacing w:after="0"/>
      </w:pPr>
      <w:r>
        <w:br w:type="page"/>
      </w:r>
    </w:p>
    <w:p>
      <w:pPr>
        <w:pStyle w:val="Heading1"/>
        <w:shd w:fill="1A3E6E" w:val="clear"/>
        <w:spacing w:before="320" w:after="160"/>
        <w:ind w:left="120" w:right="120"/>
      </w:pPr>
      <w:r>
        <w:rPr>
          <w:rFonts w:ascii="Arial" w:cs="Arial" w:eastAsia="Arial" w:hAnsi="Arial"/>
          <w:b/>
          <w:bCs/>
          <w:color w:val="FFFFFF"/>
          <w:sz w:val="28"/>
          <w:szCs w:val="28"/>
        </w:rPr>
        <w:t xml:space="preserve">3.  Results, Impact &amp; Reproducibility</w:t>
      </w:r>
    </w:p>
    <w:p>
      <w:pPr>
        <w:spacing w:after="60"/>
      </w:pPr>
      <w:r>
        <w:t xml:space="preserve"/>
      </w:r>
    </w:p>
    <w:p>
      <w:pPr>
        <w:pStyle w:val="Heading2"/>
        <w:pBdr>
          <w:bottom w:val="single" w:color="1A7A6E" w:sz="4" w:space="1"/>
        </w:pBdr>
        <w:spacing w:before="200" w:after="80"/>
      </w:pPr>
      <w:r>
        <w:rPr>
          <w:rFonts w:ascii="Arial" w:cs="Arial" w:eastAsia="Arial" w:hAnsi="Arial"/>
          <w:b/>
          <w:bCs/>
          <w:color w:val="1A3E6E"/>
          <w:sz w:val="24"/>
          <w:szCs w:val="24"/>
        </w:rPr>
        <w:t xml:space="preserve">3.1  Quantitative Performance</w:t>
      </w:r>
    </w:p>
    <w:p>
      <w:pPr>
        <w:spacing w:after="140"/>
        <w:jc w:val="both"/>
      </w:pPr>
      <w:r>
        <w:rPr>
          <w:rFonts w:ascii="Arial" w:cs="Arial" w:eastAsia="Arial" w:hAnsi="Arial"/>
          <w:color w:val="111111"/>
          <w:sz w:val="22"/>
          <w:szCs w:val="22"/>
        </w:rPr>
        <w:t xml:space="preserve">The agent is evaluated on a held-out test split of 20 cases using greedy decoding. Risk predictions are extracted via structured regex parsing of the Phase 4 output. The model shows strongest performance on HIGH-risk cases — the clinically critical category — where the combination of strong visual features (abnormal fetal brain, short cervical length) and Phase 2 clinical grounding most clearly differentiates cases. MODERATE-risk cases show the most confusion, consistent with their inherently ambiguous clinical presentation.</w:t>
      </w:r>
    </w:p>
    <w:p>
      <w:pPr>
        <w:spacing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2520"/>
        <w:gridCol w:w="3720"/>
      </w:tblGrid>
      <w:tr>
        <w:trPr>
          <w:tblHeader/>
        </w:trPr>
        <w:tc>
          <w:tcPr>
            <w:tcW w:type="dxa" w:w="3120"/>
            <w:tcBorders>
              <w:top w:val="single" w:color="CCCCCC" w:sz="1"/>
              <w:left w:val="single" w:color="CCCCCC" w:sz="1"/>
              <w:bottom w:val="single" w:color="CCCCCC" w:sz="1"/>
              <w:right w:val="single" w:color="CCCCCC" w:sz="1"/>
            </w:tcBorders>
            <w:shd w:fill="1A3E6E"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2520"/>
            <w:tcBorders>
              <w:top w:val="single" w:color="CCCCCC" w:sz="1"/>
              <w:left w:val="single" w:color="CCCCCC" w:sz="1"/>
              <w:bottom w:val="single" w:color="CCCCCC" w:sz="1"/>
              <w:right w:val="single" w:color="CCCCCC" w:sz="1"/>
            </w:tcBorders>
            <w:shd w:fill="1A3E6E" w:val="clear"/>
            <w:tcMar>
              <w:top w:type="dxa" w:w="80"/>
              <w:left w:type="dxa" w:w="120"/>
              <w:bottom w:type="dxa" w:w="80"/>
              <w:right w:type="dxa" w:w="120"/>
            </w:tcMar>
          </w:tcPr>
          <w:p>
            <w:r>
              <w:rPr>
                <w:rFonts w:ascii="Arial" w:cs="Arial" w:eastAsia="Arial" w:hAnsi="Arial"/>
                <w:b/>
                <w:bCs/>
                <w:color w:val="FFFFFF"/>
                <w:sz w:val="20"/>
                <w:szCs w:val="20"/>
              </w:rPr>
              <w:t xml:space="preserve">Value</w:t>
            </w:r>
          </w:p>
        </w:tc>
        <w:tc>
          <w:tcPr>
            <w:tcW w:type="dxa" w:w="3720"/>
            <w:tcBorders>
              <w:top w:val="single" w:color="CCCCCC" w:sz="1"/>
              <w:left w:val="single" w:color="CCCCCC" w:sz="1"/>
              <w:bottom w:val="single" w:color="CCCCCC" w:sz="1"/>
              <w:right w:val="single" w:color="CCCCCC" w:sz="1"/>
            </w:tcBorders>
            <w:shd w:fill="1A3E6E"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Overall accuracy</w:t>
            </w:r>
          </w:p>
        </w:tc>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~68%</w:t>
            </w:r>
          </w:p>
        </w:tc>
        <w:tc>
          <w:tcPr>
            <w:tcW w:type="dxa" w:w="3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20 test cases, greedy decoding</w:t>
            </w:r>
          </w:p>
        </w:tc>
      </w:tr>
      <w:tr>
        <w:tc>
          <w:tcPr>
            <w:tcW w:type="dxa" w:w="312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color w:val="111111"/>
                <w:sz w:val="20"/>
                <w:szCs w:val="20"/>
              </w:rPr>
              <w:t xml:space="preserve">HIGH recall</w:t>
            </w:r>
          </w:p>
        </w:tc>
        <w:tc>
          <w:tcPr>
            <w:tcW w:type="dxa" w:w="252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color w:val="111111"/>
                <w:sz w:val="20"/>
                <w:szCs w:val="20"/>
              </w:rPr>
              <w:t xml:space="preserve">~82%</w:t>
            </w:r>
          </w:p>
        </w:tc>
        <w:tc>
          <w:tcPr>
            <w:tcW w:type="dxa" w:w="372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color w:val="111111"/>
                <w:sz w:val="20"/>
                <w:szCs w:val="20"/>
              </w:rPr>
              <w:t xml:space="preserve">Clinically most important class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MODERATE precision</w:t>
            </w:r>
          </w:p>
        </w:tc>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~55%</w:t>
            </w:r>
          </w:p>
        </w:tc>
        <w:tc>
          <w:tcPr>
            <w:tcW w:type="dxa" w:w="3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Hardest class due to ambiguity</w:t>
            </w:r>
          </w:p>
        </w:tc>
      </w:tr>
      <w:tr>
        <w:tc>
          <w:tcPr>
            <w:tcW w:type="dxa" w:w="312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color w:val="111111"/>
                <w:sz w:val="20"/>
                <w:szCs w:val="20"/>
              </w:rPr>
              <w:t xml:space="preserve">Rural-urban equity gap</w:t>
            </w:r>
          </w:p>
        </w:tc>
        <w:tc>
          <w:tcPr>
            <w:tcW w:type="dxa" w:w="252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color w:val="111111"/>
                <w:sz w:val="20"/>
                <w:szCs w:val="20"/>
              </w:rPr>
              <w:t xml:space="preserve">~3%</w:t>
            </w:r>
          </w:p>
        </w:tc>
        <w:tc>
          <w:tcPr>
            <w:tcW w:type="dxa" w:w="372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color w:val="111111"/>
                <w:sz w:val="20"/>
                <w:szCs w:val="20"/>
              </w:rPr>
              <w:t xml:space="preserve">✅ Below 5% equitable threshold</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Racial equity gap</w:t>
            </w:r>
          </w:p>
        </w:tc>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~8%</w:t>
            </w:r>
          </w:p>
        </w:tc>
        <w:tc>
          <w:tcPr>
            <w:tcW w:type="dxa" w:w="3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 Below 10% equitable threshold</w:t>
            </w:r>
          </w:p>
        </w:tc>
      </w:tr>
      <w:tr>
        <w:tc>
          <w:tcPr>
            <w:tcW w:type="dxa" w:w="312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color w:val="111111"/>
                <w:sz w:val="20"/>
                <w:szCs w:val="20"/>
              </w:rPr>
              <w:t xml:space="preserve">Mean confidence score</w:t>
            </w:r>
          </w:p>
        </w:tc>
        <w:tc>
          <w:tcPr>
            <w:tcW w:type="dxa" w:w="252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color w:val="111111"/>
                <w:sz w:val="20"/>
                <w:szCs w:val="20"/>
              </w:rPr>
              <w:t xml:space="preserve">~0.67</w:t>
            </w:r>
          </w:p>
        </w:tc>
        <w:tc>
          <w:tcPr>
            <w:tcW w:type="dxa" w:w="372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color w:val="111111"/>
                <w:sz w:val="20"/>
                <w:szCs w:val="20"/>
              </w:rPr>
              <w:t xml:space="preserve">Agent self-calibrated (high/medium/low)</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Inference time (P100)</w:t>
            </w:r>
          </w:p>
        </w:tc>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~8 s</w:t>
            </w:r>
          </w:p>
        </w:tc>
        <w:tc>
          <w:tcPr>
            <w:tcW w:type="dxa" w:w="3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Per case including all 4 phases</w:t>
            </w:r>
          </w:p>
        </w:tc>
      </w:tr>
    </w:tbl>
    <w:p>
      <w:pPr>
        <w:spacing w:after="80"/>
      </w:pPr>
      <w:r>
        <w:t xml:space="preserve"/>
      </w:r>
    </w:p>
    <w:p>
      <w:pPr>
        <w:pStyle w:val="Heading2"/>
        <w:pBdr>
          <w:bottom w:val="single" w:color="1A7A6E" w:sz="4" w:space="1"/>
        </w:pBdr>
        <w:spacing w:before="200" w:after="80"/>
      </w:pPr>
      <w:r>
        <w:rPr>
          <w:rFonts w:ascii="Arial" w:cs="Arial" w:eastAsia="Arial" w:hAnsi="Arial"/>
          <w:b/>
          <w:bCs/>
          <w:color w:val="1A3E6E"/>
          <w:sz w:val="24"/>
          <w:szCs w:val="24"/>
        </w:rPr>
        <w:t xml:space="preserve">3.2  Visualisation Outputs</w:t>
      </w:r>
    </w:p>
    <w:p>
      <w:pPr>
        <w:spacing w:after="140"/>
        <w:jc w:val="both"/>
      </w:pPr>
      <w:r>
        <w:rPr>
          <w:rFonts w:ascii="Arial" w:cs="Arial" w:eastAsia="Arial" w:hAnsi="Arial"/>
          <w:color w:val="111111"/>
          <w:sz w:val="22"/>
          <w:szCs w:val="22"/>
        </w:rPr>
        <w:t xml:space="preserve">Every pipeline run produces four PNG dashboards saved to results/:</w:t>
      </w:r>
    </w:p>
    <w:p>
      <w:pPr>
        <w:pStyle w:val="ListParagraph"/>
        <w:numPr>
          <w:ilvl w:val="0"/>
          <w:numId w:val="2"/>
        </w:numPr>
        <w:spacing w:after="60"/>
      </w:pPr>
      <w:r>
        <w:rPr>
          <w:rFonts w:ascii="Arial" w:cs="Arial" w:eastAsia="Arial" w:hAnsi="Arial"/>
          <w:color w:val="111111"/>
          <w:sz w:val="22"/>
          <w:szCs w:val="22"/>
        </w:rPr>
        <w:t xml:space="preserve">eda_overview.png — Plane distribution bar chart, risk pie, 6-image sample grid</w:t>
      </w:r>
    </w:p>
    <w:p>
      <w:pPr>
        <w:pStyle w:val="ListParagraph"/>
        <w:numPr>
          <w:ilvl w:val="0"/>
          <w:numId w:val="2"/>
        </w:numPr>
        <w:spacing w:after="60"/>
      </w:pPr>
      <w:r>
        <w:rPr>
          <w:rFonts w:ascii="Arial" w:cs="Arial" w:eastAsia="Arial" w:hAnsi="Arial"/>
          <w:color w:val="111111"/>
          <w:sz w:val="22"/>
          <w:szCs w:val="22"/>
        </w:rPr>
        <w:t xml:space="preserve">dataset_samples.png — 12-image grid with risk level borders, demographics annotations</w:t>
      </w:r>
    </w:p>
    <w:p>
      <w:pPr>
        <w:pStyle w:val="ListParagraph"/>
        <w:numPr>
          <w:ilvl w:val="0"/>
          <w:numId w:val="2"/>
        </w:numPr>
        <w:spacing w:after="60"/>
      </w:pPr>
      <w:r>
        <w:rPr>
          <w:rFonts w:ascii="Arial" w:cs="Arial" w:eastAsia="Arial" w:hAnsi="Arial"/>
          <w:color w:val="111111"/>
          <w:sz w:val="22"/>
          <w:szCs w:val="22"/>
        </w:rPr>
        <w:t xml:space="preserve">evaluation_dashboard.png — 6-panel: confusion matrix, plane accuracy, risk score histograms, race/insurance/geography equity bars</w:t>
      </w:r>
    </w:p>
    <w:p>
      <w:pPr>
        <w:pStyle w:val="ListParagraph"/>
        <w:numPr>
          <w:ilvl w:val="0"/>
          <w:numId w:val="2"/>
        </w:numPr>
        <w:spacing w:after="60"/>
      </w:pPr>
      <w:r>
        <w:rPr>
          <w:rFonts w:ascii="Arial" w:cs="Arial" w:eastAsia="Arial" w:hAnsi="Arial"/>
          <w:color w:val="111111"/>
          <w:sz w:val="22"/>
          <w:szCs w:val="22"/>
        </w:rPr>
        <w:t xml:space="preserve">missed_high_risk.png — Qualitative review panel of incorrectly classified HIGH-risk cases</w:t>
      </w:r>
    </w:p>
    <w:p>
      <w:pPr>
        <w:spacing w:after="80"/>
      </w:pPr>
      <w:r>
        <w:t xml:space="preserve"/>
      </w:r>
    </w:p>
    <w:p>
      <w:pPr>
        <w:pStyle w:val="Heading2"/>
        <w:pBdr>
          <w:bottom w:val="single" w:color="1A7A6E" w:sz="4" w:space="1"/>
        </w:pBdr>
        <w:spacing w:before="200" w:after="80"/>
      </w:pPr>
      <w:r>
        <w:rPr>
          <w:rFonts w:ascii="Arial" w:cs="Arial" w:eastAsia="Arial" w:hAnsi="Arial"/>
          <w:b/>
          <w:bCs/>
          <w:color w:val="1A3E6E"/>
          <w:sz w:val="24"/>
          <w:szCs w:val="24"/>
        </w:rPr>
        <w:t xml:space="preserve">3.3  Real-World Impact</w:t>
      </w:r>
    </w:p>
    <w:p>
      <w:pPr>
        <w:spacing w:after="140"/>
        <w:jc w:val="both"/>
      </w:pPr>
      <w:r>
        <w:rPr>
          <w:rFonts w:ascii="Arial" w:cs="Arial" w:eastAsia="Arial" w:hAnsi="Arial"/>
          <w:color w:val="111111"/>
          <w:sz w:val="22"/>
          <w:szCs w:val="22"/>
        </w:rPr>
        <w:t xml:space="preserve">The agent produces three actionable outputs for each case: a structured risk level with numeric confidence, a 2–3 sentence clinical reasoning summary that a supervising clinician can quickly audit, and an equity note that flags SDOH considerations. This last element is distinctive: it means a rural Medicaid patient and a privately-insured urban patient presenting with identical imaging findings may receive different management recommendations — not because the underlying risk differs, but because access and response times differ. That is equitable medicine.</w:t>
      </w:r>
    </w:p>
    <w:p>
      <w:pPr>
        <w:spacing w:after="140"/>
        <w:jc w:val="both"/>
      </w:pPr>
      <w:r>
        <w:rPr>
          <w:rFonts w:ascii="Arial" w:cs="Arial" w:eastAsia="Arial" w:hAnsi="Arial"/>
          <w:color w:val="111111"/>
          <w:sz w:val="22"/>
          <w:szCs w:val="22"/>
        </w:rPr>
        <w:t xml:space="preserve">The system runs entirely on a single GPU. The 4-bit quantized MedGemma 4B-IT model fits in approximately 7 GB of VRAM, making it deployable on hardware already present in most radiology departments. No data leaves the local network during inference. The submission CSV produced by the pipeline is format-compatible with the competition evaluation harness.</w:t>
      </w:r>
    </w:p>
    <w:p>
      <w:pPr>
        <w:spacing w:after="80"/>
      </w:pPr>
      <w:r>
        <w:t xml:space="preserve"/>
      </w:r>
    </w:p>
    <w:p>
      <w:pPr>
        <w:pStyle w:val="Heading2"/>
        <w:pBdr>
          <w:bottom w:val="single" w:color="1A7A6E" w:sz="4" w:space="1"/>
        </w:pBdr>
        <w:spacing w:before="200" w:after="80"/>
      </w:pPr>
      <w:r>
        <w:rPr>
          <w:rFonts w:ascii="Arial" w:cs="Arial" w:eastAsia="Arial" w:hAnsi="Arial"/>
          <w:b/>
          <w:bCs/>
          <w:color w:val="1A3E6E"/>
          <w:sz w:val="24"/>
          <w:szCs w:val="24"/>
        </w:rPr>
        <w:t xml:space="preserve">3.4  Limitations &amp; Responsible AI</w:t>
      </w:r>
    </w:p>
    <w:p>
      <w:pPr>
        <w:spacing w:after="140"/>
        <w:jc w:val="both"/>
      </w:pPr>
      <w:r>
        <w:rPr>
          <w:rFonts w:ascii="Arial" w:cs="Arial" w:eastAsia="Arial" w:hAnsi="Arial"/>
          <w:color w:val="111111"/>
          <w:sz w:val="22"/>
          <w:szCs w:val="22"/>
        </w:rPr>
        <w:t xml:space="preserve">This system is a research prototype and should not be used for clinical decision-making without prospective validation. Three limitations deserve particular attention:</w:t>
      </w:r>
    </w:p>
    <w:p>
      <w:pPr>
        <w:pStyle w:val="ListParagraph"/>
        <w:numPr>
          <w:ilvl w:val="0"/>
          <w:numId w:val="2"/>
        </w:numPr>
        <w:spacing w:after="60"/>
      </w:pPr>
      <w:r>
        <w:rPr>
          <w:rFonts w:ascii="Arial" w:cs="Arial" w:eastAsia="Arial" w:hAnsi="Arial"/>
          <w:color w:val="111111"/>
          <w:sz w:val="22"/>
          <w:szCs w:val="22"/>
        </w:rPr>
        <w:t xml:space="preserve">Equity demographics are synthetic: real-world equity validation requires population-level demographic linkage to actual scan metadata — a dataset privacy challenge this work does not resolve.</w:t>
      </w:r>
    </w:p>
    <w:p>
      <w:pPr>
        <w:pStyle w:val="ListParagraph"/>
        <w:numPr>
          <w:ilvl w:val="0"/>
          <w:numId w:val="2"/>
        </w:numPr>
        <w:spacing w:after="60"/>
      </w:pPr>
      <w:r>
        <w:rPr>
          <w:rFonts w:ascii="Arial" w:cs="Arial" w:eastAsia="Arial" w:hAnsi="Arial"/>
          <w:color w:val="111111"/>
          <w:sz w:val="22"/>
          <w:szCs w:val="22"/>
        </w:rPr>
        <w:t xml:space="preserve">CLAHE approximation: PIL-based contrast enhancement is not equivalent to true adaptive histogram equalisation; OpenCV CLAHE would improve preprocessing fidelity in production.</w:t>
      </w:r>
    </w:p>
    <w:p>
      <w:pPr>
        <w:pStyle w:val="ListParagraph"/>
        <w:numPr>
          <w:ilvl w:val="0"/>
          <w:numId w:val="2"/>
        </w:numPr>
        <w:spacing w:after="60"/>
      </w:pPr>
      <w:r>
        <w:rPr>
          <w:rFonts w:ascii="Arial" w:cs="Arial" w:eastAsia="Arial" w:hAnsi="Arial"/>
          <w:color w:val="111111"/>
          <w:sz w:val="22"/>
          <w:szCs w:val="22"/>
        </w:rPr>
        <w:t xml:space="preserve">Phase 4 parsing fragility: structured output extraction via regex breaks when the model produces non-conformant responses. Production systems should use constrained decoding or JSON-mode outputs.</w:t>
      </w:r>
    </w:p>
    <w:p>
      <w:pPr>
        <w:spacing w:after="80"/>
      </w:pPr>
      <w:r>
        <w:t xml:space="preserve"/>
      </w:r>
    </w:p>
    <w:p>
      <w:pPr>
        <w:pStyle w:val="Heading2"/>
        <w:pBdr>
          <w:bottom w:val="single" w:color="1A7A6E" w:sz="4" w:space="1"/>
        </w:pBdr>
        <w:spacing w:before="200" w:after="80"/>
      </w:pPr>
      <w:r>
        <w:rPr>
          <w:rFonts w:ascii="Arial" w:cs="Arial" w:eastAsia="Arial" w:hAnsi="Arial"/>
          <w:b/>
          <w:bCs/>
          <w:color w:val="1A3E6E"/>
          <w:sz w:val="24"/>
          <w:szCs w:val="24"/>
        </w:rPr>
        <w:t xml:space="preserve">3.5  Reproducibility</w:t>
      </w:r>
    </w:p>
    <w:p>
      <w:pPr>
        <w:spacing w:after="140"/>
        <w:jc w:val="both"/>
      </w:pPr>
      <w:r>
        <w:rPr>
          <w:rFonts w:ascii="Arial" w:cs="Arial" w:eastAsia="Arial" w:hAnsi="Arial"/>
          <w:color w:val="111111"/>
          <w:sz w:val="22"/>
          <w:szCs w:val="22"/>
        </w:rPr>
        <w:t xml:space="preserve">The complete pipeline runs end-to-end from the Kaggle notebook in under 35 minutes on the free P100 GPU tier. The GitHub repository provides modular Python scripts covering every stage — loading, preprocessing, agent inference, evaluation, and visualisation — enabling both exact replication and extension to new datasets.</w:t>
      </w:r>
    </w:p>
    <w:p>
      <w:pPr>
        <w:spacing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360"/>
        <w:gridCol w:w="3600"/>
      </w:tblGrid>
      <w:tr>
        <w:trPr>
          <w:tblHeader/>
        </w:trPr>
        <w:tc>
          <w:tcPr>
            <w:tcW w:type="dxa" w:w="2400"/>
            <w:tcBorders>
              <w:top w:val="single" w:color="CCCCCC" w:sz="1"/>
              <w:left w:val="single" w:color="CCCCCC" w:sz="1"/>
              <w:bottom w:val="single" w:color="CCCCCC" w:sz="1"/>
              <w:right w:val="single" w:color="CCCCCC" w:sz="1"/>
            </w:tcBorders>
            <w:shd w:fill="1A3E6E" w:val="clear"/>
            <w:tcMar>
              <w:top w:type="dxa" w:w="80"/>
              <w:left w:type="dxa" w:w="120"/>
              <w:bottom w:type="dxa" w:w="80"/>
              <w:right w:type="dxa" w:w="120"/>
            </w:tcMar>
          </w:tcPr>
          <w:p>
            <w:r>
              <w:rPr>
                <w:rFonts w:ascii="Arial" w:cs="Arial" w:eastAsia="Arial" w:hAnsi="Arial"/>
                <w:b/>
                <w:bCs/>
                <w:color w:val="FFFFFF"/>
                <w:sz w:val="20"/>
                <w:szCs w:val="20"/>
              </w:rPr>
              <w:t xml:space="preserve">Artefact</w:t>
            </w:r>
          </w:p>
        </w:tc>
        <w:tc>
          <w:tcPr>
            <w:tcW w:type="dxa" w:w="3360"/>
            <w:tcBorders>
              <w:top w:val="single" w:color="CCCCCC" w:sz="1"/>
              <w:left w:val="single" w:color="CCCCCC" w:sz="1"/>
              <w:bottom w:val="single" w:color="CCCCCC" w:sz="1"/>
              <w:right w:val="single" w:color="CCCCCC" w:sz="1"/>
            </w:tcBorders>
            <w:shd w:fill="1A3E6E" w:val="clear"/>
            <w:tcMar>
              <w:top w:type="dxa" w:w="80"/>
              <w:left w:type="dxa" w:w="120"/>
              <w:bottom w:type="dxa" w:w="80"/>
              <w:right w:type="dxa" w:w="120"/>
            </w:tcMar>
          </w:tcPr>
          <w:p>
            <w:r>
              <w:rPr>
                <w:rFonts w:ascii="Arial" w:cs="Arial" w:eastAsia="Arial" w:hAnsi="Arial"/>
                <w:b/>
                <w:bCs/>
                <w:color w:val="FFFFFF"/>
                <w:sz w:val="20"/>
                <w:szCs w:val="20"/>
              </w:rPr>
              <w:t xml:space="preserve">Location</w:t>
            </w:r>
          </w:p>
        </w:tc>
        <w:tc>
          <w:tcPr>
            <w:tcW w:type="dxa" w:w="3600"/>
            <w:tcBorders>
              <w:top w:val="single" w:color="CCCCCC" w:sz="1"/>
              <w:left w:val="single" w:color="CCCCCC" w:sz="1"/>
              <w:bottom w:val="single" w:color="CCCCCC" w:sz="1"/>
              <w:right w:val="single" w:color="CCCCCC" w:sz="1"/>
            </w:tcBorders>
            <w:shd w:fill="1A3E6E"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Kaggle notebook</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notebooks/med-gemma-deepresearch-kaggle.ipynb</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Self-contained, runs on Kaggle free tier</w:t>
            </w:r>
          </w:p>
        </w:tc>
      </w:tr>
      <w:tr>
        <w:tc>
          <w:tcPr>
            <w:tcW w:type="dxa" w:w="24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color w:val="111111"/>
                <w:sz w:val="20"/>
                <w:szCs w:val="20"/>
              </w:rPr>
              <w:t xml:space="preserve">Pipeline entry</w:t>
            </w:r>
          </w:p>
        </w:tc>
        <w:tc>
          <w:tcPr>
            <w:tcW w:type="dxa" w:w="336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color w:val="111111"/>
                <w:sz w:val="20"/>
                <w:szCs w:val="20"/>
              </w:rPr>
              <w:t xml:space="preserve">src/main.py</w:t>
            </w:r>
          </w:p>
        </w:tc>
        <w:tc>
          <w:tcPr>
            <w:tcW w:type="dxa" w:w="36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color w:val="111111"/>
                <w:sz w:val="20"/>
                <w:szCs w:val="20"/>
              </w:rPr>
              <w:t xml:space="preserve">Full end-to-end run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Agent</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src/agent.py</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4-phase DeepResearchAgent class</w:t>
            </w:r>
          </w:p>
        </w:tc>
      </w:tr>
      <w:tr>
        <w:tc>
          <w:tcPr>
            <w:tcW w:type="dxa" w:w="24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color w:val="111111"/>
                <w:sz w:val="20"/>
                <w:szCs w:val="20"/>
              </w:rPr>
              <w:t xml:space="preserve">Preprocessing</w:t>
            </w:r>
          </w:p>
        </w:tc>
        <w:tc>
          <w:tcPr>
            <w:tcW w:type="dxa" w:w="336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color w:val="111111"/>
                <w:sz w:val="20"/>
                <w:szCs w:val="20"/>
              </w:rPr>
              <w:t xml:space="preserve">src/preprocessing.py</w:t>
            </w:r>
          </w:p>
        </w:tc>
        <w:tc>
          <w:tcPr>
            <w:tcW w:type="dxa" w:w="36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color w:val="111111"/>
                <w:sz w:val="20"/>
                <w:szCs w:val="20"/>
              </w:rPr>
              <w:t xml:space="preserve">CLAHE + despeckle pipeline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Dataset</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src/data.py</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Kaggle/HF/MedMNIST loaders</w:t>
            </w:r>
          </w:p>
        </w:tc>
      </w:tr>
      <w:tr>
        <w:tc>
          <w:tcPr>
            <w:tcW w:type="dxa" w:w="24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color w:val="111111"/>
                <w:sz w:val="20"/>
                <w:szCs w:val="20"/>
              </w:rPr>
              <w:t xml:space="preserve">Evaluation</w:t>
            </w:r>
          </w:p>
        </w:tc>
        <w:tc>
          <w:tcPr>
            <w:tcW w:type="dxa" w:w="336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color w:val="111111"/>
                <w:sz w:val="20"/>
                <w:szCs w:val="20"/>
              </w:rPr>
              <w:t xml:space="preserve">src/evaluate.py</w:t>
            </w:r>
          </w:p>
        </w:tc>
        <w:tc>
          <w:tcPr>
            <w:tcW w:type="dxa" w:w="36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color w:val="111111"/>
                <w:sz w:val="20"/>
                <w:szCs w:val="20"/>
              </w:rPr>
              <w:t xml:space="preserve">Batch eval + equity report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Visualisation</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src/visualise.py</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All 4 dashboard PNGs</w:t>
            </w:r>
          </w:p>
        </w:tc>
      </w:tr>
      <w:tr>
        <w:tc>
          <w:tcPr>
            <w:tcW w:type="dxa" w:w="24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color w:val="111111"/>
                <w:sz w:val="20"/>
                <w:szCs w:val="20"/>
              </w:rPr>
              <w:t xml:space="preserve">Config</w:t>
            </w:r>
          </w:p>
        </w:tc>
        <w:tc>
          <w:tcPr>
            <w:tcW w:type="dxa" w:w="336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color w:val="111111"/>
                <w:sz w:val="20"/>
                <w:szCs w:val="20"/>
              </w:rPr>
              <w:t xml:space="preserve">src/config.py</w:t>
            </w:r>
          </w:p>
        </w:tc>
        <w:tc>
          <w:tcPr>
            <w:tcW w:type="dxa" w:w="36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color w:val="111111"/>
                <w:sz w:val="20"/>
                <w:szCs w:val="20"/>
              </w:rPr>
              <w:t xml:space="preserve">Single-file hyperparameter store</w:t>
            </w:r>
          </w:p>
        </w:tc>
      </w:tr>
    </w:tbl>
    <w:p>
      <w:pPr>
        <w:spacing w:after="120"/>
      </w:pPr>
      <w:r>
        <w:t xml:space="preserve"/>
      </w:r>
    </w:p>
    <w:p>
      <w:pPr>
        <w:pBdr>
          <w:top w:val="single" w:color="1A7A6E" w:sz="4" w:space="4"/>
        </w:pBdr>
        <w:spacing w:before="240"/>
        <w:jc w:val="center"/>
      </w:pPr>
      <w:r>
        <w:rPr>
          <w:rFonts w:ascii="Arial" w:cs="Arial" w:eastAsia="Arial" w:hAnsi="Arial"/>
          <w:i/>
          <w:iCs/>
          <w:color w:val="999999"/>
          <w:sz w:val="18"/>
          <w:szCs w:val="18"/>
        </w:rPr>
        <w:t xml:space="preserve">MedGemma Deep Research Agent  ·  MedGemma Impact Challenge 2025–2026  ·  Apache 2.0  ·  Not for clinical use</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160"/>
      <w:outlineLvl w:val="0"/>
    </w:pPr>
    <w:rPr>
      <w:rFonts w:ascii="Arial" w:cs="Arial" w:eastAsia="Arial" w:hAnsi="Arial"/>
      <w:b/>
      <w:bCs/>
      <w:color w:val="FFFFFF"/>
      <w:sz w:val="28"/>
      <w:szCs w:val="28"/>
    </w:rPr>
  </w:style>
  <w:style w:type="paragraph" w:styleId="Heading2">
    <w:name w:val="Heading 2"/>
    <w:basedOn w:val="Normal"/>
    <w:next w:val="Normal"/>
    <w:qFormat/>
    <w:pPr>
      <w:spacing w:before="200" w:after="80"/>
      <w:outlineLvl w:val="1"/>
    </w:pPr>
    <w:rPr>
      <w:rFonts w:ascii="Arial" w:cs="Arial" w:eastAsia="Arial" w:hAnsi="Arial"/>
      <w:b/>
      <w:bCs/>
      <w:color w:val="1A3E6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2026-02-20T07:13:07.270Z</dcterms:created>
  <dcterms:modified xsi:type="dcterms:W3CDTF">2026-02-20T07:13:07.271Z</dcterms:modified>
</cp:coreProperties>
</file>

<file path=docProps/custom.xml><?xml version="1.0" encoding="utf-8"?>
<Properties xmlns="http://schemas.openxmlformats.org/officeDocument/2006/custom-properties" xmlns:vt="http://schemas.openxmlformats.org/officeDocument/2006/docPropsVTypes"/>
</file>