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ATLaS-MD sample the correct per-state Boltzmann distribution?</w:t>
      </w:r>
    </w:p>
    <w:p>
      <w:pPr>
        <w:jc w:val="left"/>
      </w:pPr>
      <w:r>
        <w:rPr>
          <w:i/>
          <w:color w:val="1F4E79"/>
          <w:sz w:val="17"/>
        </w:rPr>
        <w:t>Validation report · 2026-09-01 · branch validate/boltzmann-correctness @ caefac5 · data RUNS/chignolin_6 (rsynced snapshot, 15,375,316 raw rows)</w:t>
      </w:r>
    </w:p>
    <w:p>
      <w:pPr>
        <w:pStyle w:val="Heading1"/>
      </w:pPr>
      <w:r>
        <w:t>Executive summary</w:t>
      </w:r>
    </w:p>
    <w:p>
      <w:pPr>
        <w:spacing w:after="80"/>
      </w:pPr>
      <w:r>
        <w:rPr>
          <w:b w:val="0"/>
          <w:i w:val="0"/>
          <w:sz w:val="19"/>
        </w:rPr>
        <w:t>The claim under test: “exchange obeys detailed balance, so the joint ensemble stays correct and the samples labelled state k still converge to state k’s Boltzmann distribution.” It splits into two independent claims, which had been conflated.</w:t>
      </w:r>
    </w:p>
    <w:tbl>
      <w:tblPr>
        <w:tblStyle w:val="LightList-Accent1"/>
        <w:tblW w:type="auto" w:w="0"/>
        <w:tblLook w:firstColumn="1" w:firstRow="1" w:lastColumn="0" w:lastRow="0" w:noHBand="0" w:noVBand="1" w:val="04A0"/>
      </w:tblPr>
      <w:tblGrid>
        <w:gridCol w:w="2880"/>
        <w:gridCol w:w="2880"/>
        <w:gridCol w:w="2880"/>
      </w:tblGrid>
      <w:tr>
        <w:tc>
          <w:tcPr>
            <w:tcW w:type="dxa" w:w="1440"/>
          </w:tcPr>
          <w:p>
            <w:r/>
            <w:r>
              <w:rPr>
                <w:b/>
                <w:sz w:val="17"/>
              </w:rPr>
            </w:r>
          </w:p>
        </w:tc>
        <w:tc>
          <w:tcPr>
            <w:tcW w:type="dxa" w:w="5040"/>
          </w:tcPr>
          <w:p>
            <w:r/>
            <w:r>
              <w:rPr>
                <w:b/>
                <w:sz w:val="17"/>
              </w:rPr>
              <w:t>Claim</w:t>
            </w:r>
          </w:p>
        </w:tc>
        <w:tc>
          <w:tcPr>
            <w:tcW w:type="dxa" w:w="3168"/>
          </w:tcPr>
          <w:p>
            <w:r/>
            <w:r>
              <w:rPr>
                <w:b/>
                <w:sz w:val="17"/>
              </w:rPr>
              <w:t>Verdict</w:t>
            </w:r>
          </w:p>
        </w:tc>
      </w:tr>
      <w:tr>
        <w:tc>
          <w:tcPr>
            <w:tcW w:type="dxa" w:w="1440"/>
          </w:tcPr>
          <w:p>
            <w:r/>
            <w:r>
              <w:rPr>
                <w:sz w:val="17"/>
              </w:rPr>
              <w:t>Layer A</w:t>
              <w:br/>
              <w:t>the sampler</w:t>
            </w:r>
          </w:p>
        </w:tc>
        <w:tc>
          <w:tcPr>
            <w:tcW w:type="dxa" w:w="5040"/>
          </w:tcPr>
          <w:p>
            <w:r/>
            <w:r>
              <w:rPr>
                <w:sz w:val="17"/>
              </w:rPr>
              <w:t>Samples labelled state k are Boltzmann for state k’s biased Hamiltonian</w:t>
            </w:r>
          </w:p>
        </w:tc>
        <w:tc>
          <w:tcPr>
            <w:tcW w:type="dxa" w:w="3168"/>
          </w:tcPr>
          <w:p>
            <w:r/>
            <w:r>
              <w:rPr>
                <w:sz w:val="17"/>
              </w:rPr>
              <w:t>PASSES, with one stated exception and one coverage gap</w:t>
            </w:r>
          </w:p>
        </w:tc>
      </w:tr>
      <w:tr>
        <w:tc>
          <w:tcPr>
            <w:tcW w:type="dxa" w:w="1440"/>
          </w:tcPr>
          <w:p>
            <w:r/>
            <w:r>
              <w:rPr>
                <w:sz w:val="17"/>
              </w:rPr>
              <w:t>Layer B</w:t>
              <w:br/>
              <w:t>the estimator</w:t>
            </w:r>
          </w:p>
        </w:tc>
        <w:tc>
          <w:tcPr>
            <w:tcW w:type="dxa" w:w="5040"/>
          </w:tcPr>
          <w:p>
            <w:r/>
            <w:r>
              <w:rPr>
                <w:sz w:val="17"/>
              </w:rPr>
              <w:t>The unbiased PMF can be recovered from those biased + boosted samples</w:t>
            </w:r>
          </w:p>
        </w:tc>
        <w:tc>
          <w:tcPr>
            <w:tcW w:type="dxa" w:w="3168"/>
          </w:tcPr>
          <w:p>
            <w:r/>
            <w:r>
              <w:rPr>
                <w:sz w:val="17"/>
              </w:rPr>
              <w:t>Exponential reweighting FAILS structurally; CE2 is UNRESOLVED</w:t>
            </w:r>
          </w:p>
        </w:tc>
      </w:tr>
    </w:tbl>
    <w:p>
      <w:pPr>
        <w:spacing w:after="80"/>
      </w:pPr>
      <w:r>
        <w:rPr>
          <w:b w:val="0"/>
          <w:i w:val="0"/>
          <w:sz w:val="19"/>
        </w:rPr>
      </w:r>
    </w:p>
    <w:p>
      <w:pPr>
        <w:pStyle w:val="ListBullet"/>
        <w:spacing w:after="40"/>
      </w:pPr>
      <w:r>
        <w:rPr>
          <w:sz w:val="19"/>
        </w:rPr>
        <w:t>Exchange preserves the target exactly — πP = π and full detailed balance to 1e-12 — for all four modes on finite bias matrices. Nine harmful mutations to the shipped kernel each turn the tests red.</w:t>
      </w:r>
    </w:p>
    <w:p>
      <w:pPr>
        <w:pStyle w:val="ListBullet"/>
        <w:spacing w:after="40"/>
      </w:pPr>
      <w:r>
        <w:rPr>
          <w:sz w:val="19"/>
        </w:rPr>
        <w:t>Both restraint axes agree with their recorded parameters: 23/24 pairs on the contact CV and 27/28 on the secondary, at 5% family-wise error.</w:t>
      </w:r>
    </w:p>
    <w:p>
      <w:pPr>
        <w:pStyle w:val="ListBullet"/>
        <w:spacing w:after="40"/>
      </w:pPr>
      <w:r>
        <w:rPr>
          <w:sz w:val="19"/>
        </w:rPr>
        <w:t>Exponential reweighting is unusable: a = 0.369 against a 0.25 bound for finite weight variance, so the importance weights have infinite variance and no amount of sampling helps.</w:t>
      </w:r>
    </w:p>
    <w:p>
      <w:pPr>
        <w:pStyle w:val="ListBullet"/>
        <w:spacing w:after="40"/>
      </w:pPr>
      <w:r>
        <w:rPr>
          <w:sz w:val="19"/>
        </w:rPr>
        <w:t>CE2’s truncation error cannot be measured on this run, because the diagnostic needs the same divergent average the estimator does. Floor 0.23 kcal/mol; the two higher estimators (1.35 and 3.00) are model-dependent and unreliable respectively.</w:t>
      </w:r>
    </w:p>
    <w:p>
      <w:pPr>
        <w:pStyle w:val="ListBullet"/>
        <w:spacing w:after="40"/>
      </w:pPr>
      <w:r>
        <w:rPr>
          <w:sz w:val="19"/>
        </w:rPr>
        <w:t>The boost width is a setting, currently pinned at its ceiling. σ0p ≈ 1.00 kcal/mol would put the exponential estimator inside its bound and make CE2’s error measurable for the first time.</w:t>
      </w:r>
    </w:p>
    <w:p>
      <w:pPr>
        <w:pStyle w:val="Heading1"/>
      </w:pPr>
      <w:r>
        <w:t>1  The claim, decomposed</w:t>
      </w:r>
    </w:p>
    <w:tbl>
      <w:tblPr>
        <w:tblStyle w:val="LightList-Accent1"/>
        <w:tblW w:type="auto" w:w="0"/>
        <w:tblLook w:firstColumn="1" w:firstRow="1" w:lastColumn="0" w:lastRow="0" w:noHBand="0" w:noVBand="1" w:val="04A0"/>
      </w:tblPr>
      <w:tblGrid>
        <w:gridCol w:w="2880"/>
        <w:gridCol w:w="2880"/>
        <w:gridCol w:w="2880"/>
      </w:tblGrid>
      <w:tr>
        <w:tc>
          <w:tcPr>
            <w:tcW w:type="dxa" w:w="720"/>
          </w:tcPr>
          <w:p>
            <w:r/>
            <w:r>
              <w:rPr>
                <w:b/>
                <w:sz w:val="17"/>
              </w:rPr>
              <w:t>Link</w:t>
            </w:r>
          </w:p>
        </w:tc>
        <w:tc>
          <w:tcPr>
            <w:tcW w:type="dxa" w:w="4752"/>
          </w:tcPr>
          <w:p>
            <w:r/>
            <w:r>
              <w:rPr>
                <w:b/>
                <w:sz w:val="17"/>
              </w:rPr>
              <w:t>Statement</w:t>
            </w:r>
          </w:p>
        </w:tc>
        <w:tc>
          <w:tcPr>
            <w:tcW w:type="dxa" w:w="4176"/>
          </w:tcPr>
          <w:p>
            <w:r/>
            <w:r>
              <w:rPr>
                <w:b/>
                <w:sz w:val="17"/>
              </w:rPr>
              <w:t>Evidence</w:t>
            </w:r>
          </w:p>
        </w:tc>
      </w:tr>
      <w:tr>
        <w:tc>
          <w:tcPr>
            <w:tcW w:type="dxa" w:w="720"/>
          </w:tcPr>
          <w:p>
            <w:r/>
            <w:r>
              <w:rPr>
                <w:sz w:val="17"/>
              </w:rPr>
              <w:t>L1</w:t>
            </w:r>
          </w:p>
        </w:tc>
        <w:tc>
          <w:tcPr>
            <w:tcW w:type="dxa" w:w="4752"/>
          </w:tcPr>
          <w:p>
            <w:r/>
            <w:r>
              <w:rPr>
                <w:sz w:val="17"/>
              </w:rPr>
              <w:t>The exchange kernel is π-invariant</w:t>
            </w:r>
          </w:p>
        </w:tc>
        <w:tc>
          <w:tcPr>
            <w:tcW w:type="dxa" w:w="4176"/>
          </w:tcPr>
          <w:p>
            <w:r/>
            <w:r>
              <w:rPr>
                <w:sz w:val="17"/>
              </w:rPr>
              <w:t>Proven exactly by enumeration, on finite bias matrices</w:t>
            </w:r>
          </w:p>
        </w:tc>
      </w:tr>
      <w:tr>
        <w:tc>
          <w:tcPr>
            <w:tcW w:type="dxa" w:w="720"/>
          </w:tcPr>
          <w:p>
            <w:r/>
            <w:r>
              <w:rPr>
                <w:sz w:val="17"/>
              </w:rPr>
              <w:t>L2</w:t>
            </w:r>
          </w:p>
        </w:tc>
        <w:tc>
          <w:tcPr>
            <w:tcW w:type="dxa" w:w="4752"/>
          </w:tcPr>
          <w:p>
            <w:r/>
            <w:r>
              <w:rPr>
                <w:sz w:val="17"/>
              </w:rPr>
              <w:t>ΔV does not read the umbrella, so it cancels</w:t>
            </w:r>
          </w:p>
        </w:tc>
        <w:tc>
          <w:tcPr>
            <w:tcW w:type="dxa" w:w="4176"/>
          </w:tcPr>
          <w:p>
            <w:r/>
            <w:r>
              <w:rPr>
                <w:sz w:val="17"/>
              </w:rPr>
              <w:t>Proven from the installed integrator; unguarded for 4 of 11 boost types</w:t>
            </w:r>
          </w:p>
        </w:tc>
      </w:tr>
      <w:tr>
        <w:tc>
          <w:tcPr>
            <w:tcW w:type="dxa" w:w="720"/>
          </w:tcPr>
          <w:p>
            <w:r/>
            <w:r>
              <w:rPr>
                <w:sz w:val="17"/>
              </w:rPr>
              <w:t>L3</w:t>
            </w:r>
          </w:p>
        </w:tc>
        <w:tc>
          <w:tcPr>
            <w:tcW w:type="dxa" w:w="4752"/>
          </w:tcPr>
          <w:p>
            <w:r/>
            <w:r>
              <w:rPr>
                <w:sz w:val="17"/>
              </w:rPr>
              <w:t>Within-state dynamics are Boltzmann for the biased+boosted potential</w:t>
            </w:r>
          </w:p>
        </w:tc>
        <w:tc>
          <w:tcPr>
            <w:tcW w:type="dxa" w:w="4176"/>
          </w:tcPr>
          <w:p>
            <w:r/>
            <w:r>
              <w:rPr>
                <w:sz w:val="17"/>
              </w:rPr>
              <w:t>NOT TESTED — needs a toy system with an analytic FES</w:t>
            </w:r>
          </w:p>
        </w:tc>
      </w:tr>
      <w:tr>
        <w:tc>
          <w:tcPr>
            <w:tcW w:type="dxa" w:w="720"/>
          </w:tcPr>
          <w:p>
            <w:r/>
            <w:r>
              <w:rPr>
                <w:sz w:val="17"/>
              </w:rPr>
              <w:t>L4</w:t>
            </w:r>
          </w:p>
        </w:tc>
        <w:tc>
          <w:tcPr>
            <w:tcW w:type="dxa" w:w="4752"/>
          </w:tcPr>
          <w:p>
            <w:r/>
            <w:r>
              <w:rPr>
                <w:sz w:val="17"/>
              </w:rPr>
              <w:t>Recorded parameters equal applied parameters, per phase</w:t>
            </w:r>
          </w:p>
        </w:tc>
        <w:tc>
          <w:tcPr>
            <w:tcW w:type="dxa" w:w="4176"/>
          </w:tcPr>
          <w:p>
            <w:r/>
            <w:r>
              <w:rPr>
                <w:sz w:val="17"/>
              </w:rPr>
              <w:t>Measured on both CV axes; agreement bounded by the test’s ~2.4% resolution</w:t>
            </w:r>
          </w:p>
        </w:tc>
      </w:tr>
      <w:tr>
        <w:tc>
          <w:tcPr>
            <w:tcW w:type="dxa" w:w="720"/>
          </w:tcPr>
          <w:p>
            <w:r/>
            <w:r>
              <w:rPr>
                <w:sz w:val="17"/>
              </w:rPr>
              <w:t>L5</w:t>
            </w:r>
          </w:p>
        </w:tc>
        <w:tc>
          <w:tcPr>
            <w:tcW w:type="dxa" w:w="4752"/>
          </w:tcPr>
          <w:p>
            <w:r/>
            <w:r>
              <w:rPr>
                <w:sz w:val="17"/>
              </w:rPr>
              <w:t>No non-equilibrium interventions</w:t>
            </w:r>
          </w:p>
        </w:tc>
        <w:tc>
          <w:tcPr>
            <w:tcW w:type="dxa" w:w="4176"/>
          </w:tcPr>
          <w:p>
            <w:r/>
            <w:r>
              <w:rPr>
                <w:sz w:val="17"/>
              </w:rPr>
              <w:t>One rescue path is armed but has not fired; one NaN path can bias gibbs-walk</w:t>
            </w:r>
          </w:p>
        </w:tc>
      </w:tr>
    </w:tbl>
    <w:p>
      <w:pPr>
        <w:pStyle w:val="Heading1"/>
      </w:pPr>
      <w:r>
        <w:t>2  Layer A — the sampler</w:t>
      </w:r>
    </w:p>
    <w:p>
      <w:pPr>
        <w:pStyle w:val="Heading2"/>
      </w:pPr>
      <w:r>
        <w:t>2.1  The exchange kernel, proven by enumeration</w:t>
      </w:r>
    </w:p>
    <w:p>
      <w:pPr>
        <w:spacing w:after="80"/>
      </w:pPr>
      <w:r>
        <w:rPr>
          <w:b w:val="0"/>
          <w:i w:val="0"/>
          <w:sz w:val="19"/>
        </w:rPr>
        <w:t>The move swaps state labels only — it touches OpenMM global context parameters and nothing else, so configurations never move between contexts. Against a frozen bias matrix the chain is therefore finite on the N! permutations and does not need to be sampled: the transition matrix is built by driving the shipped kernel and checked to machine precision.</w:t>
      </w:r>
    </w:p>
    <w:p>
      <w:pPr>
        <w:spacing w:after="120"/>
      </w:pPr>
      <w:r>
        <w:rPr>
          <w:rFonts w:ascii="Consolas" w:hAnsi="Consolas"/>
          <w:sz w:val="16"/>
        </w:rPr>
        <w:t>Δ = β[ u_wj(x_i) + u_wi(x_j) − u_wi(x_i) − u_wj(x_j) ]</w:t>
      </w:r>
    </w:p>
    <w:p>
      <w:pPr>
        <w:spacing w:after="80"/>
      </w:pPr>
      <w:r>
        <w:rPr>
          <w:b w:val="0"/>
          <w:i w:val="0"/>
          <w:sz w:val="19"/>
        </w:rPr>
        <w:t>U₀ and ΔV appear identically on both sides and cancel exactly; kinetic terms cancel (momenta unchanged) and so do the NPT pV and volume terms (the volume is unchanged). Two conditions carry that: the boost must be keyed to the coordinate slot rather than the state label — it is — and it must not read the umbrella force group, which holds for this run’s lower-dihedral boost and fails for 4 of the 11 selectable types.</w:t>
      </w:r>
    </w:p>
    <w:p>
      <w:pPr>
        <w:spacing w:after="80"/>
      </w:pPr>
      <w:r>
        <w:rPr>
          <w:b w:val="0"/>
          <w:i w:val="0"/>
          <w:sz w:val="19"/>
        </w:rPr>
        <w:t>For every window pair and every replica at N = 3, 4, 5, to 1e-12: rows sum to 1, πP = π, and detailed balance holds pairwise. A separate irreducibility check guards what balance structurally cannot see — a kernel that never moves is perfectly π-invariant.</w:t>
      </w:r>
    </w:p>
    <w:p>
      <w:pPr>
        <w:spacing w:after="80"/>
      </w:pPr>
      <w:r>
        <w:rPr>
          <w:b w:val="0"/>
          <w:i w:val="0"/>
          <w:color w:val="A61B1B"/>
          <w:sz w:val="19"/>
        </w:rPr>
        <w:t>The one exception, and it is the default mode: that proof is over a finite bias matrix. When a secondary CV value is NaN, gibbs-walk’s forward and reverse proposals are normalised over different candidate sets, so the MH correction no longer uses matching probabilities. The pair-swap modes fail closed instead.</w:t>
      </w:r>
    </w:p>
    <w:p>
      <w:pPr>
        <w:pStyle w:val="Heading2"/>
      </w:pPr>
      <w:r>
        <w:t>2.2  Boltzmann consistency on production data</w:t>
      </w:r>
    </w:p>
    <w:p>
      <w:pPr>
        <w:spacing w:after="80"/>
      </w:pPr>
      <w:r>
        <w:rPr>
          <w:b w:val="0"/>
          <w:i w:val="0"/>
          <w:sz w:val="19"/>
        </w:rPr>
        <w:t>For two states sampled from a common unbiased ensemble, pooling both samples and labelling by origin makes the origin probability a logistic function of the bias difference with slope exactly −1, whatever the underlying free-energy surface. The intercept absorbs the unknown Δf and the unequal sample sizes, so no reference simulation is needed, and it holds with GaMD on because the group boost cancels from the ratio.</w:t>
      </w:r>
    </w:p>
    <w:p>
      <w:pPr>
        <w:spacing w:after="80"/>
      </w:pPr>
      <w:r>
        <w:rPr>
          <w:b w:val="0"/>
          <w:i w:val="0"/>
          <w:sz w:val="19"/>
        </w:rPr>
        <w:t>Pairs are built so that each isolates one axis: pairs sharing (c₂, k₂) exactly test the primary restraint, pairs sharing (c₁, k₁) test the secondary. They are reported separately and never pooled.</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2880"/>
          </w:tcPr>
          <w:p>
            <w:r/>
            <w:r>
              <w:rPr>
                <w:b/>
                <w:sz w:val="16"/>
              </w:rPr>
              <w:t>Phase</w:t>
            </w:r>
          </w:p>
        </w:tc>
        <w:tc>
          <w:tcPr>
            <w:tcW w:type="dxa" w:w="720"/>
          </w:tcPr>
          <w:p>
            <w:r/>
            <w:r>
              <w:rPr>
                <w:b/>
                <w:sz w:val="16"/>
              </w:rPr>
              <w:t>Axis</w:t>
            </w:r>
          </w:p>
        </w:tc>
        <w:tc>
          <w:tcPr>
            <w:tcW w:type="dxa" w:w="2160"/>
          </w:tcPr>
          <w:p>
            <w:r/>
            <w:r>
              <w:rPr>
                <w:b/>
                <w:sz w:val="16"/>
              </w:rPr>
              <w:t>Random-effects slope</w:t>
            </w:r>
          </w:p>
        </w:tc>
        <w:tc>
          <w:tcPr>
            <w:tcW w:type="dxa" w:w="1008"/>
          </w:tcPr>
          <w:p>
            <w:r/>
            <w:r>
              <w:rPr>
                <w:b/>
                <w:sz w:val="16"/>
              </w:rPr>
              <w:t>z vs −1</w:t>
            </w:r>
          </w:p>
        </w:tc>
        <w:tc>
          <w:tcPr>
            <w:tcW w:type="dxa" w:w="1296"/>
          </w:tcPr>
          <w:p>
            <w:r/>
            <w:r>
              <w:rPr>
                <w:b/>
                <w:sz w:val="16"/>
              </w:rPr>
              <w:t>Pairs consistent</w:t>
            </w:r>
          </w:p>
        </w:tc>
        <w:tc>
          <w:tcPr>
            <w:tcW w:type="dxa" w:w="1152"/>
          </w:tcPr>
          <w:p>
            <w:r/>
            <w:r>
              <w:rPr>
                <w:b/>
                <w:sz w:val="16"/>
              </w:rPr>
              <w:t>Implied T</w:t>
            </w:r>
          </w:p>
        </w:tc>
      </w:tr>
      <w:tr>
        <w:tc>
          <w:tcPr>
            <w:tcW w:type="dxa" w:w="2880"/>
          </w:tcPr>
          <w:p>
            <w:r/>
            <w:r>
              <w:rPr>
                <w:sz w:val="16"/>
              </w:rPr>
              <w:t>epoch_000 (pre-recalibration)</w:t>
            </w:r>
          </w:p>
        </w:tc>
        <w:tc>
          <w:tcPr>
            <w:tcW w:type="dxa" w:w="720"/>
          </w:tcPr>
          <w:p>
            <w:r/>
            <w:r>
              <w:rPr>
                <w:sz w:val="16"/>
              </w:rPr>
              <w:t>CV1</w:t>
            </w:r>
          </w:p>
        </w:tc>
        <w:tc>
          <w:tcPr>
            <w:tcW w:type="dxa" w:w="2160"/>
          </w:tcPr>
          <w:p>
            <w:r/>
            <w:r>
              <w:rPr>
                <w:sz w:val="16"/>
              </w:rPr>
              <w:t>-1.01548 ± 0.01245</w:t>
            </w:r>
          </w:p>
        </w:tc>
        <w:tc>
          <w:tcPr>
            <w:tcW w:type="dxa" w:w="1008"/>
          </w:tcPr>
          <w:p>
            <w:r/>
            <w:r>
              <w:rPr>
                <w:sz w:val="16"/>
              </w:rPr>
              <w:t>-1.24</w:t>
            </w:r>
          </w:p>
        </w:tc>
        <w:tc>
          <w:tcPr>
            <w:tcW w:type="dxa" w:w="1296"/>
          </w:tcPr>
          <w:p>
            <w:r/>
            <w:r>
              <w:rPr>
                <w:sz w:val="16"/>
              </w:rPr>
              <w:t>23/24</w:t>
            </w:r>
          </w:p>
        </w:tc>
        <w:tc>
          <w:tcPr>
            <w:tcW w:type="dxa" w:w="1152"/>
          </w:tcPr>
          <w:p>
            <w:r/>
            <w:r>
              <w:rPr>
                <w:sz w:val="16"/>
              </w:rPr>
              <w:t>295.4 K</w:t>
            </w:r>
          </w:p>
        </w:tc>
      </w:tr>
      <w:tr>
        <w:tc>
          <w:tcPr>
            <w:tcW w:type="dxa" w:w="2880"/>
          </w:tcPr>
          <w:p>
            <w:r/>
            <w:r>
              <w:rPr>
                <w:sz w:val="16"/>
              </w:rPr>
              <w:t>epoch_000 (pre-recalibration)</w:t>
            </w:r>
          </w:p>
        </w:tc>
        <w:tc>
          <w:tcPr>
            <w:tcW w:type="dxa" w:w="720"/>
          </w:tcPr>
          <w:p>
            <w:r/>
            <w:r>
              <w:rPr>
                <w:sz w:val="16"/>
              </w:rPr>
              <w:t>CV2</w:t>
            </w:r>
          </w:p>
        </w:tc>
        <w:tc>
          <w:tcPr>
            <w:tcW w:type="dxa" w:w="2160"/>
          </w:tcPr>
          <w:p>
            <w:r/>
            <w:r>
              <w:rPr>
                <w:sz w:val="16"/>
              </w:rPr>
              <w:t>-0.99227 ± 0.01188</w:t>
            </w:r>
          </w:p>
        </w:tc>
        <w:tc>
          <w:tcPr>
            <w:tcW w:type="dxa" w:w="1008"/>
          </w:tcPr>
          <w:p>
            <w:r/>
            <w:r>
              <w:rPr>
                <w:sz w:val="16"/>
              </w:rPr>
              <w:t>+0.65</w:t>
            </w:r>
          </w:p>
        </w:tc>
        <w:tc>
          <w:tcPr>
            <w:tcW w:type="dxa" w:w="1296"/>
          </w:tcPr>
          <w:p>
            <w:r/>
            <w:r>
              <w:rPr>
                <w:sz w:val="16"/>
              </w:rPr>
              <w:t>27/28</w:t>
            </w:r>
          </w:p>
        </w:tc>
        <w:tc>
          <w:tcPr>
            <w:tcW w:type="dxa" w:w="1152"/>
          </w:tcPr>
          <w:p>
            <w:r/>
            <w:r>
              <w:rPr>
                <w:sz w:val="16"/>
              </w:rPr>
              <w:t>302.3 K</w:t>
            </w:r>
          </w:p>
        </w:tc>
      </w:tr>
      <w:tr>
        <w:tc>
          <w:tcPr>
            <w:tcW w:type="dxa" w:w="2880"/>
          </w:tcPr>
          <w:p>
            <w:r/>
            <w:r>
              <w:rPr>
                <w:sz w:val="16"/>
              </w:rPr>
              <w:t>epoch_001/baseline (post-recalibration)</w:t>
            </w:r>
          </w:p>
        </w:tc>
        <w:tc>
          <w:tcPr>
            <w:tcW w:type="dxa" w:w="720"/>
          </w:tcPr>
          <w:p>
            <w:r/>
            <w:r>
              <w:rPr>
                <w:sz w:val="16"/>
              </w:rPr>
              <w:t>CV1</w:t>
            </w:r>
          </w:p>
        </w:tc>
        <w:tc>
          <w:tcPr>
            <w:tcW w:type="dxa" w:w="2160"/>
          </w:tcPr>
          <w:p>
            <w:r/>
            <w:r>
              <w:rPr>
                <w:sz w:val="16"/>
              </w:rPr>
              <w:t>no pairs constructible</w:t>
            </w:r>
          </w:p>
        </w:tc>
        <w:tc>
          <w:tcPr>
            <w:tcW w:type="dxa" w:w="1008"/>
          </w:tcPr>
          <w:p>
            <w:r/>
            <w:r>
              <w:rPr>
                <w:sz w:val="16"/>
              </w:rPr>
              <w:t>—</w:t>
            </w:r>
          </w:p>
        </w:tc>
        <w:tc>
          <w:tcPr>
            <w:tcW w:type="dxa" w:w="1296"/>
          </w:tcPr>
          <w:p>
            <w:r/>
            <w:r>
              <w:rPr>
                <w:sz w:val="16"/>
              </w:rPr>
              <w:t>—</w:t>
            </w:r>
          </w:p>
        </w:tc>
        <w:tc>
          <w:tcPr>
            <w:tcW w:type="dxa" w:w="1152"/>
          </w:tcPr>
          <w:p>
            <w:r/>
            <w:r>
              <w:rPr>
                <w:sz w:val="16"/>
              </w:rPr>
              <w:t>—</w:t>
            </w:r>
          </w:p>
        </w:tc>
      </w:tr>
      <w:tr>
        <w:tc>
          <w:tcPr>
            <w:tcW w:type="dxa" w:w="2880"/>
          </w:tcPr>
          <w:p>
            <w:r/>
            <w:r>
              <w:rPr>
                <w:sz w:val="16"/>
              </w:rPr>
              <w:t>epoch_001/baseline (post-recalibration)</w:t>
            </w:r>
          </w:p>
        </w:tc>
        <w:tc>
          <w:tcPr>
            <w:tcW w:type="dxa" w:w="720"/>
          </w:tcPr>
          <w:p>
            <w:r/>
            <w:r>
              <w:rPr>
                <w:sz w:val="16"/>
              </w:rPr>
              <w:t>CV2</w:t>
            </w:r>
          </w:p>
        </w:tc>
        <w:tc>
          <w:tcPr>
            <w:tcW w:type="dxa" w:w="2160"/>
          </w:tcPr>
          <w:p>
            <w:r/>
            <w:r>
              <w:rPr>
                <w:sz w:val="16"/>
              </w:rPr>
              <w:t>-0.98965 ± 0.01327</w:t>
            </w:r>
          </w:p>
        </w:tc>
        <w:tc>
          <w:tcPr>
            <w:tcW w:type="dxa" w:w="1008"/>
          </w:tcPr>
          <w:p>
            <w:r/>
            <w:r>
              <w:rPr>
                <w:sz w:val="16"/>
              </w:rPr>
              <w:t>+0.78</w:t>
            </w:r>
          </w:p>
        </w:tc>
        <w:tc>
          <w:tcPr>
            <w:tcW w:type="dxa" w:w="1296"/>
          </w:tcPr>
          <w:p>
            <w:r/>
            <w:r>
              <w:rPr>
                <w:sz w:val="16"/>
              </w:rPr>
              <w:t>25/28</w:t>
            </w:r>
          </w:p>
        </w:tc>
        <w:tc>
          <w:tcPr>
            <w:tcW w:type="dxa" w:w="1152"/>
          </w:tcPr>
          <w:p>
            <w:r/>
            <w:r>
              <w:rPr>
                <w:sz w:val="16"/>
              </w:rPr>
              <w:t>303.1 K</w:t>
            </w:r>
          </w:p>
        </w:tc>
      </w:tr>
    </w:tbl>
    <w:p>
      <w:pPr>
        <w:spacing w:after="80"/>
      </w:pPr>
      <w:r>
        <w:rPr>
          <w:b w:val="0"/>
          <w:i w:val="0"/>
          <w:sz w:val="19"/>
        </w:rPr>
      </w:r>
    </w:p>
    <w:p>
      <w:pPr>
        <w:pStyle w:val="ListBullet"/>
        <w:spacing w:after="40"/>
      </w:pPr>
      <w:r>
        <w:rPr>
          <w:sz w:val="19"/>
        </w:rPr>
        <w:t>Cochran Q rejects homogeneity on every axis (epoch_000 CV2: Q = 52.7 on 27 df, p = 0.0022, I² = 49%), so fixed-effect pooling is invalid however the per-pair errors were computed. DerSimonian–Laird random effects is the headline; Hartung–Knapp moves it negligibly.</w:t>
      </w:r>
    </w:p>
    <w:p>
      <w:pPr>
        <w:pStyle w:val="ListBullet"/>
        <w:spacing w:after="40"/>
      </w:pPr>
      <w:r>
        <w:rPr>
          <w:sz w:val="19"/>
        </w:rPr>
        <w:t>Per-pair gate is Bonferroni at 5% family-wise error (|z| &gt; 3.12), not an arbitrary threshold.</w:t>
      </w:r>
    </w:p>
    <w:p>
      <w:pPr>
        <w:pStyle w:val="ListBullet"/>
        <w:spacing w:after="40"/>
      </w:pPr>
      <w:r>
        <w:rPr>
          <w:sz w:val="19"/>
        </w:rPr>
        <w:t>The pairs are not independent — adjacent pairs share a window. Simulated over 4000 realisations, the induced correlation is negative (−0.17 to −0.38), because the shared window is the label-1 group in one pair and label-0 in the next. The reported intervals are therefore conservative by 1.3–1.9×, with measured 95% coverage 0.985–1.000.</w:t>
      </w:r>
    </w:p>
    <w:p>
      <w:pPr>
        <w:pStyle w:val="ListBullet"/>
        <w:spacing w:after="40"/>
      </w:pPr>
      <w:r>
        <w:rPr>
          <w:sz w:val="19"/>
        </w:rPr>
        <w:t>Every interval is a lower bound: g is unconverged by ~×4.0 per doubling of the detection window. That cuts in favour of the null — too-narrow errors over-reject, so passing anyway is a stronger result.</w:t>
      </w:r>
    </w:p>
    <w:p>
      <w:pPr>
        <w:pStyle w:val="ListBullet"/>
        <w:spacing w:after="40"/>
      </w:pPr>
      <w:r>
        <w:rPr>
          <w:sz w:val="19"/>
        </w:rPr>
        <w:t>A time-stratification systematic of 0.0433 (3.6× the random-effects error) sits underneath all of it and appears in no interval.</w:t>
      </w:r>
    </w:p>
    <w:p>
      <w:pPr>
        <w:spacing w:after="80"/>
      </w:pPr>
      <w:r>
        <w:rPr>
          <w:b w:val="0"/>
          <w:i w:val="0"/>
          <w:sz w:val="19"/>
        </w:rPr>
        <w:t>The two axes imply different temperatures (295.4 K vs 302.3 K; difference -0.0232 ± 0.0172, z = -1.35). A wrong temperature is one scalar and must move both axes the same way, so a global β error is disfavoured — but the significance is sensitive to the equilibration-detection window and is reported as suggestive, not established. What does hold regardless: no single effective temperature can be quoted for this run.</w:t>
      </w:r>
    </w:p>
    <w:p>
      <w:pPr>
        <w:pStyle w:val="Heading2"/>
      </w:pPr>
      <w:r>
        <w:t>2.3  Sample labelling</w:t>
      </w:r>
    </w:p>
    <w:p>
      <w:pPr>
        <w:spacing w:after="80"/>
      </w:pPr>
      <w:r>
        <w:rPr>
          <w:b w:val="0"/>
          <w:i w:val="0"/>
          <w:sz w:val="19"/>
        </w:rPr>
        <w:t>window_id is what MBAR uses to select a sample’s bias; a post-swap label would reweight a frame against a restraint it never felt, and the numbers would stay finite and plausible. Production gets this right by ordering, pinned structurally by four AST checks: sample() precedes the exchange within the loop, the writer’s label is bound from the live assignments array, every write to that array is accounted for, and the gibbs call site passes its Metropolis probability rather than force-accepting.</w:t>
      </w:r>
    </w:p>
    <w:p>
      <w:pPr>
        <w:pStyle w:val="Heading1"/>
      </w:pPr>
      <w:r>
        <w:t>3  Layer B — can GaMD reweighting work at all?</w:t>
      </w:r>
    </w:p>
    <w:p>
      <w:pPr>
        <w:spacing w:after="80"/>
      </w:pPr>
      <w:r>
        <w:rPr>
          <w:b w:val="0"/>
          <w:i w:val="0"/>
          <w:sz w:val="19"/>
        </w:rPr>
        <w:t>Analytic check on existing data, zero extra compute. 13,537,316 samples across 37 states after mapping each row’s phase-local window_id through its own phase’s map and de-duplicating (12.0% dropped, verified bit-identical).</w:t>
      </w:r>
    </w:p>
    <w:p>
      <w:pPr>
        <w:pStyle w:val="Heading2"/>
      </w:pPr>
      <w:r>
        <w:t>3.1  The two boost regimes are not comparable</w:t>
      </w:r>
    </w:p>
    <w:p>
      <w:pPr>
        <w:spacing w:after="80"/>
      </w:pPr>
      <w:r>
        <w:rPr>
          <w:b w:val="0"/>
          <w:i w:val="0"/>
          <w:sz w:val="19"/>
        </w:rPr>
        <w:t>The shared-envelope recalibration fires at most once, so epoch_000 ran under a different boost from every later phase. Pooling them inflates a mechanically.</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2880"/>
          </w:tcPr>
          <w:p>
            <w:r/>
            <w:r>
              <w:rPr>
                <w:b/>
                <w:sz w:val="16"/>
              </w:rPr>
              <w:t>Regime</w:t>
            </w:r>
          </w:p>
        </w:tc>
        <w:tc>
          <w:tcPr>
            <w:tcW w:type="dxa" w:w="1728"/>
          </w:tcPr>
          <w:p>
            <w:r/>
            <w:r>
              <w:rPr>
                <w:b/>
                <w:sz w:val="16"/>
              </w:rPr>
              <w:t>n</w:t>
            </w:r>
          </w:p>
        </w:tc>
        <w:tc>
          <w:tcPr>
            <w:tcW w:type="dxa" w:w="1296"/>
          </w:tcPr>
          <w:p>
            <w:r/>
            <w:r>
              <w:rPr>
                <w:b/>
                <w:sz w:val="16"/>
              </w:rPr>
              <w:t>⟨βΔV⟩</w:t>
            </w:r>
          </w:p>
        </w:tc>
        <w:tc>
          <w:tcPr>
            <w:tcW w:type="dxa" w:w="1008"/>
          </w:tcPr>
          <w:p>
            <w:r/>
            <w:r>
              <w:rPr>
                <w:b/>
                <w:sz w:val="16"/>
              </w:rPr>
              <w:t>βσ</w:t>
            </w:r>
          </w:p>
        </w:tc>
        <w:tc>
          <w:tcPr>
            <w:tcW w:type="dxa" w:w="1440"/>
          </w:tcPr>
          <w:p>
            <w:r/>
            <w:r>
              <w:rPr>
                <w:b/>
                <w:sz w:val="16"/>
              </w:rPr>
              <w:t>Anharmonicity</w:t>
            </w:r>
          </w:p>
        </w:tc>
        <w:tc>
          <w:tcPr>
            <w:tcW w:type="dxa" w:w="864"/>
          </w:tcPr>
          <w:p>
            <w:r/>
            <w:r>
              <w:rPr>
                <w:b/>
                <w:sz w:val="16"/>
              </w:rPr>
              <w:t>a</w:t>
            </w:r>
          </w:p>
        </w:tc>
      </w:tr>
      <w:tr>
        <w:tc>
          <w:tcPr>
            <w:tcW w:type="dxa" w:w="2880"/>
          </w:tcPr>
          <w:p>
            <w:r/>
            <w:r>
              <w:rPr>
                <w:sz w:val="16"/>
              </w:rPr>
              <w:t>epoch_000 (pre-recal)</w:t>
            </w:r>
          </w:p>
        </w:tc>
        <w:tc>
          <w:tcPr>
            <w:tcW w:type="dxa" w:w="1728"/>
          </w:tcPr>
          <w:p>
            <w:r/>
            <w:r>
              <w:rPr>
                <w:sz w:val="16"/>
              </w:rPr>
              <w:t>1,562,528</w:t>
            </w:r>
          </w:p>
        </w:tc>
        <w:tc>
          <w:tcPr>
            <w:tcW w:type="dxa" w:w="1296"/>
          </w:tcPr>
          <w:p>
            <w:r/>
            <w:r>
              <w:rPr>
                <w:sz w:val="16"/>
              </w:rPr>
              <w:t>7.50</w:t>
            </w:r>
          </w:p>
        </w:tc>
        <w:tc>
          <w:tcPr>
            <w:tcW w:type="dxa" w:w="1008"/>
          </w:tcPr>
          <w:p>
            <w:r/>
            <w:r>
              <w:rPr>
                <w:sz w:val="16"/>
              </w:rPr>
              <w:t>3.37</w:t>
            </w:r>
          </w:p>
        </w:tc>
        <w:tc>
          <w:tcPr>
            <w:tcW w:type="dxa" w:w="1440"/>
          </w:tcPr>
          <w:p>
            <w:r/>
            <w:r>
              <w:rPr>
                <w:sz w:val="16"/>
              </w:rPr>
              <w:t>0.699</w:t>
            </w:r>
          </w:p>
        </w:tc>
        <w:tc>
          <w:tcPr>
            <w:tcW w:type="dxa" w:w="864"/>
          </w:tcPr>
          <w:p>
            <w:r/>
            <w:r>
              <w:rPr>
                <w:sz w:val="16"/>
              </w:rPr>
              <w:t>0.388</w:t>
            </w:r>
          </w:p>
        </w:tc>
      </w:tr>
      <w:tr>
        <w:tc>
          <w:tcPr>
            <w:tcW w:type="dxa" w:w="2880"/>
          </w:tcPr>
          <w:p>
            <w:r/>
            <w:r>
              <w:rPr>
                <w:sz w:val="16"/>
              </w:rPr>
              <w:t>epoch_001+final (post-recal)</w:t>
            </w:r>
          </w:p>
        </w:tc>
        <w:tc>
          <w:tcPr>
            <w:tcW w:type="dxa" w:w="1728"/>
          </w:tcPr>
          <w:p>
            <w:r/>
            <w:r>
              <w:rPr>
                <w:sz w:val="16"/>
              </w:rPr>
              <w:t>11,974,788</w:t>
            </w:r>
          </w:p>
        </w:tc>
        <w:tc>
          <w:tcPr>
            <w:tcW w:type="dxa" w:w="1296"/>
          </w:tcPr>
          <w:p>
            <w:r/>
            <w:r>
              <w:rPr>
                <w:sz w:val="16"/>
              </w:rPr>
              <w:t>8.82</w:t>
            </w:r>
          </w:p>
        </w:tc>
        <w:tc>
          <w:tcPr>
            <w:tcW w:type="dxa" w:w="1008"/>
          </w:tcPr>
          <w:p>
            <w:r/>
            <w:r>
              <w:rPr>
                <w:sz w:val="16"/>
              </w:rPr>
              <w:t>3.57</w:t>
            </w:r>
          </w:p>
        </w:tc>
        <w:tc>
          <w:tcPr>
            <w:tcW w:type="dxa" w:w="1440"/>
          </w:tcPr>
          <w:p>
            <w:r/>
            <w:r>
              <w:rPr>
                <w:sz w:val="16"/>
              </w:rPr>
              <w:t>0.601</w:t>
            </w:r>
          </w:p>
        </w:tc>
        <w:tc>
          <w:tcPr>
            <w:tcW w:type="dxa" w:w="864"/>
          </w:tcPr>
          <w:p>
            <w:r/>
            <w:r>
              <w:rPr>
                <w:sz w:val="16"/>
              </w:rPr>
              <w:t>0.369</w:t>
            </w:r>
          </w:p>
        </w:tc>
      </w:tr>
    </w:tbl>
    <w:p>
      <w:pPr>
        <w:spacing w:after="80"/>
      </w:pPr>
      <w:r>
        <w:rPr>
          <w:b w:val="0"/>
          <w:i w:val="0"/>
          <w:sz w:val="19"/>
        </w:rPr>
      </w:r>
    </w:p>
    <w:p>
      <w:pPr>
        <w:spacing w:after="80"/>
      </w:pPr>
      <w:r>
        <w:rPr>
          <w:b w:val="0"/>
          <w:i/>
          <w:sz w:val="17"/>
        </w:rPr>
        <w:t>The headline below uses the post-recalibration samples, which are the ones the main PMF report covers.</w:t>
      </w:r>
    </w:p>
    <w:p>
      <w:pPr>
        <w:pStyle w:val="Heading2"/>
      </w:pPr>
      <w:r>
        <w:t>3.2  Exponential reweighting — structurally unusable</w:t>
      </w:r>
    </w:p>
    <w:p>
      <w:pPr>
        <w:spacing w:after="80"/>
      </w:pPr>
      <w:r>
        <w:rPr>
          <w:b w:val="0"/>
          <w:i w:val="0"/>
          <w:sz w:val="19"/>
        </w:rPr>
        <w:t>For a lower-bound GaMD boost ΔV = ½k(E−V)², so βΔV is a scaled noncentral chi-square with one degree of freedom, βΔV ~ a·χ′²₁(λ). Moment matching gives a = m − √(m² − v/2). The moment-generating function exists only for t &lt; 1/(2a), so:</w:t>
      </w:r>
    </w:p>
    <w:tbl>
      <w:tblPr>
        <w:tblStyle w:val="LightList-Accent1"/>
        <w:tblW w:type="auto" w:w="0"/>
        <w:tblLook w:firstColumn="1" w:firstRow="1" w:lastColumn="0" w:lastRow="0" w:noHBand="0" w:noVBand="1" w:val="04A0"/>
      </w:tblPr>
      <w:tblGrid>
        <w:gridCol w:w="2880"/>
        <w:gridCol w:w="2880"/>
        <w:gridCol w:w="2880"/>
      </w:tblGrid>
      <w:tr>
        <w:tc>
          <w:tcPr>
            <w:tcW w:type="dxa" w:w="1296"/>
          </w:tcPr>
          <w:p>
            <w:r/>
            <w:r>
              <w:rPr>
                <w:b/>
                <w:sz w:val="17"/>
              </w:rPr>
              <w:t>Bound</w:t>
            </w:r>
          </w:p>
        </w:tc>
        <w:tc>
          <w:tcPr>
            <w:tcW w:type="dxa" w:w="4752"/>
          </w:tcPr>
          <w:p>
            <w:r/>
            <w:r>
              <w:rPr>
                <w:b/>
                <w:sz w:val="17"/>
              </w:rPr>
              <w:t>Meaning</w:t>
            </w:r>
          </w:p>
        </w:tc>
        <w:tc>
          <w:tcPr>
            <w:tcW w:type="dxa" w:w="3600"/>
          </w:tcPr>
          <w:p>
            <w:r/>
            <w:r>
              <w:rPr>
                <w:b/>
                <w:sz w:val="17"/>
              </w:rPr>
              <w:t>Measured</w:t>
            </w:r>
          </w:p>
        </w:tc>
      </w:tr>
      <w:tr>
        <w:tc>
          <w:tcPr>
            <w:tcW w:type="dxa" w:w="1296"/>
          </w:tcPr>
          <w:p>
            <w:r/>
            <w:r>
              <w:rPr>
                <w:sz w:val="17"/>
              </w:rPr>
              <w:t>a &lt; 0.50</w:t>
            </w:r>
          </w:p>
        </w:tc>
        <w:tc>
          <w:tcPr>
            <w:tcW w:type="dxa" w:w="4752"/>
          </w:tcPr>
          <w:p>
            <w:r/>
            <w:r>
              <w:rPr>
                <w:sz w:val="17"/>
              </w:rPr>
              <w:t>E[w] finite — the estimator is defined</w:t>
            </w:r>
          </w:p>
        </w:tc>
        <w:tc>
          <w:tcPr>
            <w:tcW w:type="dxa" w:w="3600"/>
          </w:tcPr>
          <w:p>
            <w:r/>
            <w:r>
              <w:rPr>
                <w:sz w:val="17"/>
              </w:rPr>
              <w:t>a = 0.369  ✓ defined</w:t>
            </w:r>
          </w:p>
        </w:tc>
      </w:tr>
      <w:tr>
        <w:tc>
          <w:tcPr>
            <w:tcW w:type="dxa" w:w="1296"/>
          </w:tcPr>
          <w:p>
            <w:r/>
            <w:r>
              <w:rPr>
                <w:sz w:val="17"/>
              </w:rPr>
              <w:t>a &lt; 0.25</w:t>
            </w:r>
          </w:p>
        </w:tc>
        <w:tc>
          <w:tcPr>
            <w:tcW w:type="dxa" w:w="4752"/>
          </w:tcPr>
          <w:p>
            <w:r/>
            <w:r>
              <w:rPr>
                <w:sz w:val="17"/>
              </w:rPr>
              <w:t>E[w²] finite — it has finite variance</w:t>
            </w:r>
          </w:p>
        </w:tc>
        <w:tc>
          <w:tcPr>
            <w:tcW w:type="dxa" w:w="3600"/>
          </w:tcPr>
          <w:p>
            <w:r/>
            <w:r>
              <w:rPr>
                <w:sz w:val="17"/>
              </w:rPr>
              <w:t>a = 0.369  ✗ INFINITE VARIANCE</w:t>
            </w:r>
          </w:p>
        </w:tc>
      </w:tr>
    </w:tbl>
    <w:p>
      <w:pPr>
        <w:spacing w:after="80"/>
      </w:pPr>
      <w:r>
        <w:rPr>
          <w:b w:val="0"/>
          <w:i w:val="0"/>
          <w:sz w:val="19"/>
        </w:rPr>
      </w:r>
    </w:p>
    <w:p>
      <w:pPr>
        <w:spacing w:after="80"/>
      </w:pPr>
      <w:r>
        <w:rPr>
          <w:b w:val="0"/>
          <w:i w:val="0"/>
          <w:color w:val="A61B1B"/>
          <w:sz w:val="19"/>
        </w:rPr>
        <w:t>a is 0.361–0.385 across all 37 well-sampled states, so no subset is salvageable. Kish ESS has no finite limit and does not grow with N — any single ESS figure quoted for this data is an artefact of which extreme frame was drawn, not a sampling-quality complaint.</w:t>
      </w:r>
    </w:p>
    <w:p>
      <w:pPr>
        <w:pStyle w:val="Heading2"/>
      </w:pPr>
      <w:r>
        <w:t>3.3  CE2 — not resolved</w:t>
      </w:r>
    </w:p>
    <w:p>
      <w:pPr>
        <w:spacing w:after="80"/>
      </w:pPr>
      <w:r>
        <w:rPr>
          <w:b w:val="0"/>
          <w:i w:val="0"/>
          <w:sz w:val="19"/>
        </w:rPr>
        <w:t>CE2 is exact for a Gaussian boost at any width, so βσ = 3.57 alone condemns nothing; only non-Gaussianity does. The repo’s own diagnostic rates this 0.601 → WARN. And because a PMF is defined up to a constant, the reportable quantity is the spread across CV bins of the neglected terms, over 11 bins:</w:t>
      </w:r>
    </w:p>
    <w:tbl>
      <w:tblPr>
        <w:tblStyle w:val="LightList-Accent1"/>
        <w:tblW w:type="auto" w:w="0"/>
        <w:tblLook w:firstColumn="1" w:firstRow="1" w:lastColumn="0" w:lastRow="0" w:noHBand="0" w:noVBand="1" w:val="04A0"/>
      </w:tblPr>
      <w:tblGrid>
        <w:gridCol w:w="2880"/>
        <w:gridCol w:w="2880"/>
        <w:gridCol w:w="2880"/>
      </w:tblGrid>
      <w:tr>
        <w:tc>
          <w:tcPr>
            <w:tcW w:type="dxa" w:w="1872"/>
          </w:tcPr>
          <w:p>
            <w:r/>
            <w:r>
              <w:rPr>
                <w:b/>
                <w:sz w:val="17"/>
              </w:rPr>
              <w:t>Estimator</w:t>
            </w:r>
          </w:p>
        </w:tc>
        <w:tc>
          <w:tcPr>
            <w:tcW w:type="dxa" w:w="1296"/>
          </w:tcPr>
          <w:p>
            <w:r/>
            <w:r>
              <w:rPr>
                <w:b/>
                <w:sz w:val="17"/>
              </w:rPr>
              <w:t>kcal/mol</w:t>
            </w:r>
          </w:p>
        </w:tc>
        <w:tc>
          <w:tcPr>
            <w:tcW w:type="dxa" w:w="6480"/>
          </w:tcPr>
          <w:p>
            <w:r/>
            <w:r>
              <w:rPr>
                <w:b/>
                <w:sz w:val="17"/>
              </w:rPr>
              <w:t>What it is</w:t>
            </w:r>
          </w:p>
        </w:tc>
      </w:tr>
      <w:tr>
        <w:tc>
          <w:tcPr>
            <w:tcW w:type="dxa" w:w="1872"/>
          </w:tcPr>
          <w:p>
            <w:r/>
            <w:r>
              <w:rPr>
                <w:sz w:val="17"/>
              </w:rPr>
              <w:t>3rd-order term</w:t>
            </w:r>
          </w:p>
        </w:tc>
        <w:tc>
          <w:tcPr>
            <w:tcW w:type="dxa" w:w="1296"/>
          </w:tcPr>
          <w:p>
            <w:r/>
            <w:r>
              <w:rPr>
                <w:sz w:val="17"/>
              </w:rPr>
              <w:t>0.23</w:t>
            </w:r>
          </w:p>
        </w:tc>
        <w:tc>
          <w:tcPr>
            <w:tcW w:type="dxa" w:w="6480"/>
          </w:tcPr>
          <w:p>
            <w:r/>
            <w:r>
              <w:rPr>
                <w:sz w:val="17"/>
              </w:rPr>
              <w:t>directly measured — a floor, not the tail</w:t>
            </w:r>
          </w:p>
        </w:tc>
      </w:tr>
      <w:tr>
        <w:tc>
          <w:tcPr>
            <w:tcW w:type="dxa" w:w="1872"/>
          </w:tcPr>
          <w:p>
            <w:r/>
            <w:r>
              <w:rPr>
                <w:sz w:val="17"/>
              </w:rPr>
              <w:t>parametric (χ²)</w:t>
            </w:r>
          </w:p>
        </w:tc>
        <w:tc>
          <w:tcPr>
            <w:tcW w:type="dxa" w:w="1296"/>
          </w:tcPr>
          <w:p>
            <w:r/>
            <w:r>
              <w:rPr>
                <w:sz w:val="17"/>
              </w:rPr>
              <w:t>1.35</w:t>
            </w:r>
          </w:p>
        </w:tc>
        <w:tc>
          <w:tcPr>
            <w:tcW w:type="dxa" w:w="6480"/>
          </w:tcPr>
          <w:p>
            <w:r/>
            <w:r>
              <w:rPr>
                <w:sz w:val="17"/>
              </w:rPr>
              <w:t>closed form for the fitted family only; two moments do not constrain higher cumulants</w:t>
            </w:r>
          </w:p>
        </w:tc>
      </w:tr>
      <w:tr>
        <w:tc>
          <w:tcPr>
            <w:tcW w:type="dxa" w:w="1872"/>
          </w:tcPr>
          <w:p>
            <w:r/>
            <w:r>
              <w:rPr>
                <w:sz w:val="17"/>
              </w:rPr>
              <w:t>empirical</w:t>
            </w:r>
          </w:p>
        </w:tc>
        <w:tc>
          <w:tcPr>
            <w:tcW w:type="dxa" w:w="1296"/>
          </w:tcPr>
          <w:p>
            <w:r/>
            <w:r>
              <w:rPr>
                <w:sz w:val="17"/>
              </w:rPr>
              <w:t>3.00</w:t>
            </w:r>
          </w:p>
        </w:tc>
        <w:tc>
          <w:tcPr>
            <w:tcW w:type="dxa" w:w="6480"/>
          </w:tcPr>
          <w:p>
            <w:r/>
            <w:r>
              <w:rPr>
                <w:sz w:val="17"/>
              </w:rPr>
              <w:t>model-free, but needs the divergent average — not a measurement</w:t>
            </w:r>
          </w:p>
        </w:tc>
      </w:tr>
    </w:tbl>
    <w:p>
      <w:pPr>
        <w:spacing w:after="80"/>
      </w:pPr>
      <w:r>
        <w:rPr>
          <w:b w:val="0"/>
          <w:i w:val="0"/>
          <w:sz w:val="19"/>
        </w:rPr>
      </w:r>
    </w:p>
    <w:p>
      <w:pPr>
        <w:spacing w:after="80"/>
      </w:pPr>
      <w:r>
        <w:rPr>
          <w:b w:val="0"/>
          <w:i w:val="0"/>
          <w:color w:val="A61B1B"/>
          <w:sz w:val="19"/>
        </w:rPr>
        <w:t>Worst-bin exponential-average ESS is 0.0001% of that bin’s samples. The honest verdict is that CE2’s truncation error is unresolved on this run, with a measured floor of 0.23 kcal/mol — the same infinite variance that kills the exponential estimator also kills the diagnostic for CE2’s own error. The 1 kcal/mol accuracy target is a chosen convention, not a derived threshold.</w:t>
      </w:r>
    </w:p>
    <w:p>
      <w:pPr>
        <w:pStyle w:val="Heading2"/>
      </w:pPr>
      <w:r>
        <w:t>3.4  The boost width is a setting — and it is pinned</w:t>
      </w:r>
    </w:p>
    <w:p>
      <w:pPr>
        <w:spacing w:after="120"/>
      </w:pPr>
      <w:r>
        <w:rPr>
          <w:rFonts w:ascii="Consolas" w:hAnsi="Consolas"/>
          <w:sz w:val="16"/>
        </w:rPr>
        <w:t>lower-dihedral:  sigma0p = 2.5 kcal/mol,  k0 = 1.0,  k0' = 1.694</w:t>
        <w:br/>
        <w:t>(from adaptive_production/global_shared_gamd_setup/shared_gamd_setup_globals.json)</w:t>
      </w:r>
    </w:p>
    <w:p>
      <w:pPr>
        <w:pStyle w:val="ListBullet"/>
        <w:spacing w:after="40"/>
      </w:pPr>
      <w:r>
        <w:rPr>
          <w:sz w:val="19"/>
        </w:rPr>
        <w:t>k0 = min(1, k0′) is clipped at its ceiling, so the applied boost is SMALLER than the setting requests, not larger. The clip is protective; the target itself is too wide.</w:t>
      </w:r>
    </w:p>
    <w:p>
      <w:pPr>
        <w:pStyle w:val="ListBullet"/>
        <w:spacing w:after="40"/>
      </w:pPr>
      <w:r>
        <w:rPr>
          <w:sz w:val="19"/>
        </w:rPr>
        <w:t>Every σ0p between 1.48 and 2.5 kcal/mol gives the identical boost. A half-measure in that range would look like a change and do nothing.</w:t>
      </w:r>
    </w:p>
    <w:p>
      <w:pPr>
        <w:pStyle w:val="ListBullet"/>
        <w:spacing w:after="40"/>
      </w:pPr>
      <w:r>
        <w:rPr>
          <w:sz w:val="19"/>
        </w:rPr>
        <w:t>ΔV is pointwise proportional to k0, so a is linear in it. Reaching a &lt; 0.25 needs σ0p ≈ 1.00 kcal/mol — measured, after the clip.</w:t>
      </w:r>
    </w:p>
    <w:p>
      <w:pPr>
        <w:spacing w:after="80"/>
      </w:pPr>
      <w:r>
        <w:rPr>
          <w:b w:val="0"/>
          <w:i/>
          <w:sz w:val="17"/>
        </w:rPr>
        <w:t>Caveat: Vmax, Vmin and σV are re-measured at calibration, so treat 1.00 as a starting point and re-run this audit on the result.</w:t>
      </w:r>
    </w:p>
    <w:p>
      <w:pPr>
        <w:jc w:val="center"/>
      </w:pPr>
      <w:r>
        <w:drawing>
          <wp:inline xmlns:a="http://schemas.openxmlformats.org/drawingml/2006/main" xmlns:pic="http://schemas.openxmlformats.org/drawingml/2006/picture">
            <wp:extent cx="6035040" cy="2247089"/>
            <wp:docPr id="1" name="Picture 1"/>
            <wp:cNvGraphicFramePr>
              <a:graphicFrameLocks noChangeAspect="1"/>
            </wp:cNvGraphicFramePr>
            <a:graphic>
              <a:graphicData uri="http://schemas.openxmlformats.org/drawingml/2006/picture">
                <pic:pic>
                  <pic:nvPicPr>
                    <pic:cNvPr id="0" name="boltzmann_validation.png"/>
                    <pic:cNvPicPr/>
                  </pic:nvPicPr>
                  <pic:blipFill>
                    <a:blip r:embed="rId9"/>
                    <a:stretch>
                      <a:fillRect/>
                    </a:stretch>
                  </pic:blipFill>
                  <pic:spPr>
                    <a:xfrm>
                      <a:off x="0" y="0"/>
                      <a:ext cx="6035040" cy="2247089"/>
                    </a:xfrm>
                    <a:prstGeom prst="rect"/>
                  </pic:spPr>
                </pic:pic>
              </a:graphicData>
            </a:graphic>
          </wp:inline>
        </w:drawing>
      </w:r>
    </w:p>
    <w:p>
      <w:pPr>
        <w:jc w:val="center"/>
      </w:pPr>
      <w:r>
        <w:rPr>
          <w:i/>
          <w:sz w:val="16"/>
        </w:rPr>
        <w:t>Figure 1 — (a) the boost scale a per umbrella state against the two reweighting bounds; every state sits above the finite-variance line. (b) per-pair logistic slopes on the CV2 axis with ±2 SE, against the exact null of −1.</w:t>
      </w:r>
    </w:p>
    <w:p>
      <w:pPr>
        <w:pStyle w:val="Heading1"/>
      </w:pPr>
      <w:r>
        <w:t>4  What is not covered</w:t>
      </w:r>
    </w:p>
    <w:p>
      <w:pPr>
        <w:pStyle w:val="ListBullet"/>
        <w:spacing w:after="40"/>
      </w:pPr>
      <w:r>
        <w:rPr>
          <w:sz w:val="19"/>
        </w:rPr>
        <w:t>Within-state dynamics under a live GaMD boost (L3). Every existing oracle is umbrella-only; nothing tests that the boosted dynamics sample the biased Boltzmann distribution. This needs a toy system whose boost is provably non-zero.</w:t>
      </w:r>
    </w:p>
    <w:p>
      <w:pPr>
        <w:pStyle w:val="ListBullet"/>
        <w:spacing w:after="40"/>
      </w:pPr>
      <w:r>
        <w:rPr>
          <w:sz w:val="19"/>
        </w:rPr>
        <w:t>The contact CV is verified on epoch_000 only. After the tICA recentering every window receives a unique CV2 centre (33 distinct centres for 33 windows), so no pair can isolate CV1 — and epoch_000 is both 12% of the samples and the regime the main PMF excludes. A structural coverage gap, not a caveat.</w:t>
      </w:r>
    </w:p>
    <w:p>
      <w:pPr>
        <w:pStyle w:val="ListBullet"/>
        <w:spacing w:after="40"/>
      </w:pPr>
      <w:r>
        <w:rPr>
          <w:sz w:val="19"/>
        </w:rPr>
        <w:t>End-to-end recovery of a known free-energy surface. The GaMD-off ala-dipeptide run that would establish it has not been done.</w:t>
      </w:r>
    </w:p>
    <w:p>
      <w:pPr>
        <w:pStyle w:val="ListBullet"/>
        <w:spacing w:after="40"/>
      </w:pPr>
      <w:r>
        <w:rPr>
          <w:sz w:val="19"/>
        </w:rPr>
        <w:t>This is a statement about the sampler, not about the free energies extracted from it: it is blind to MBAR solver error, Jacobian handling, and any non-Boltzmann behaviour orthogonal to (cv1, cv2).</w:t>
      </w:r>
    </w:p>
    <w:p>
      <w:pPr>
        <w:pStyle w:val="Heading1"/>
      </w:pPr>
      <w:r>
        <w:t>5  Defects found, and their status</w:t>
      </w:r>
    </w:p>
    <w:tbl>
      <w:tblPr>
        <w:tblStyle w:val="LightList-Accent1"/>
        <w:tblW w:type="auto" w:w="0"/>
        <w:tblLook w:firstColumn="1" w:firstRow="1" w:lastColumn="0" w:lastRow="0" w:noHBand="0" w:noVBand="1" w:val="04A0"/>
      </w:tblPr>
      <w:tblGrid>
        <w:gridCol w:w="4320"/>
        <w:gridCol w:w="4320"/>
      </w:tblGrid>
      <w:tr>
        <w:tc>
          <w:tcPr>
            <w:tcW w:type="dxa" w:w="7776"/>
          </w:tcPr>
          <w:p>
            <w:r/>
            <w:r>
              <w:rPr>
                <w:b/>
                <w:sz w:val="16"/>
              </w:rPr>
              <w:t>Defect</w:t>
            </w:r>
          </w:p>
        </w:tc>
        <w:tc>
          <w:tcPr>
            <w:tcW w:type="dxa" w:w="1872"/>
          </w:tcPr>
          <w:p>
            <w:r/>
            <w:r>
              <w:rPr>
                <w:b/>
                <w:sz w:val="16"/>
              </w:rPr>
              <w:t>Status</w:t>
            </w:r>
          </w:p>
        </w:tc>
      </w:tr>
      <w:tr>
        <w:tc>
          <w:tcPr>
            <w:tcW w:type="dxa" w:w="7776"/>
          </w:tcPr>
          <w:p>
            <w:r/>
            <w:r>
              <w:rPr>
                <w:sz w:val="16"/>
              </w:rPr>
              <w:t>gibbs-walk’s forward and reverse proposals filter over different candidate sets when CV2 is NaN, breaking the MH correction. The other three modes fail closed; the default mode is the one that biases.</w:t>
            </w:r>
          </w:p>
        </w:tc>
        <w:tc>
          <w:tcPr>
            <w:tcW w:type="dxa" w:w="1872"/>
          </w:tcPr>
          <w:p>
            <w:r/>
            <w:r>
              <w:rPr>
                <w:sz w:val="16"/>
              </w:rPr>
              <w:t>OPEN</w:t>
            </w:r>
          </w:p>
        </w:tc>
      </w:tr>
      <w:tr>
        <w:tc>
          <w:tcPr>
            <w:tcW w:type="dxa" w:w="7776"/>
          </w:tcPr>
          <w:p>
            <w:r/>
            <w:r>
              <w:rPr>
                <w:sz w:val="16"/>
              </w:rPr>
              <w:t>Four C1-unsafe boost types are selectable with no guard, and one shipped example config still sets one of them.</w:t>
            </w:r>
          </w:p>
        </w:tc>
        <w:tc>
          <w:tcPr>
            <w:tcW w:type="dxa" w:w="1872"/>
          </w:tcPr>
          <w:p>
            <w:r/>
            <w:r>
              <w:rPr>
                <w:sz w:val="16"/>
              </w:rPr>
              <w:t>OPEN</w:t>
            </w:r>
          </w:p>
        </w:tc>
      </w:tr>
      <w:tr>
        <w:tc>
          <w:tcPr>
            <w:tcW w:type="dxa" w:w="7776"/>
          </w:tcPr>
          <w:p>
            <w:r/>
            <w:r>
              <w:rPr>
                <w:sz w:val="16"/>
              </w:rPr>
              <w:t>A non-equilibrium rescue path copies positions with no acceptance test. Default on when CV1 is contacts; verified never to have fired, but nothing is written to Parquet so affected frames could not be excluded.</w:t>
            </w:r>
          </w:p>
        </w:tc>
        <w:tc>
          <w:tcPr>
            <w:tcW w:type="dxa" w:w="1872"/>
          </w:tcPr>
          <w:p>
            <w:r/>
            <w:r>
              <w:rPr>
                <w:sz w:val="16"/>
              </w:rPr>
              <w:t>OPEN</w:t>
            </w:r>
          </w:p>
        </w:tc>
      </w:tr>
      <w:tr>
        <w:tc>
          <w:tcPr>
            <w:tcW w:type="dxa" w:w="7776"/>
          </w:tcPr>
          <w:p>
            <w:r/>
            <w:r>
              <w:rPr>
                <w:sz w:val="16"/>
              </w:rPr>
              <w:t>The GaMD boost is pinned at its ceiling (k0 = 1.0 against k0′ = 1.694).</w:t>
            </w:r>
          </w:p>
        </w:tc>
        <w:tc>
          <w:tcPr>
            <w:tcW w:type="dxa" w:w="1872"/>
          </w:tcPr>
          <w:p>
            <w:r/>
            <w:r>
              <w:rPr>
                <w:sz w:val="16"/>
              </w:rPr>
              <w:t>OPEN — config decision</w:t>
            </w:r>
          </w:p>
        </w:tc>
      </w:tr>
      <w:tr>
        <w:tc>
          <w:tcPr>
            <w:tcW w:type="dxa" w:w="7776"/>
          </w:tcPr>
          <w:p>
            <w:r/>
            <w:r>
              <w:rPr>
                <w:sz w:val="16"/>
              </w:rPr>
              <w:t>final/baseline holds 45% exact duplicate rows — nearly double the worst previously recorded. Verified bit-identical, so de-duplication is safe, but ParquetSampleWriter._consolidate did not delete that phase’s chunks.</w:t>
            </w:r>
          </w:p>
        </w:tc>
        <w:tc>
          <w:tcPr>
            <w:tcW w:type="dxa" w:w="1872"/>
          </w:tcPr>
          <w:p>
            <w:r/>
            <w:r>
              <w:rPr>
                <w:sz w:val="16"/>
              </w:rPr>
              <w:t>OPEN</w:t>
            </w:r>
          </w:p>
        </w:tc>
      </w:tr>
      <w:tr>
        <w:tc>
          <w:tcPr>
            <w:tcW w:type="dxa" w:w="7776"/>
          </w:tcPr>
          <w:p>
            <w:r/>
            <w:r>
              <w:rPr>
                <w:sz w:val="16"/>
              </w:rPr>
              <w:t>Equilibration detection estimated t0 from a fixed head, so a transient longer than the head was truncated and g came back far too small — over-keeping frames by 62–139× on real windows.</w:t>
            </w:r>
          </w:p>
        </w:tc>
        <w:tc>
          <w:tcPr>
            <w:tcW w:type="dxa" w:w="1872"/>
          </w:tcPr>
          <w:p>
            <w:r/>
            <w:r>
              <w:rPr>
                <w:sz w:val="16"/>
              </w:rPr>
              <w:t>FIXED</w:t>
            </w:r>
          </w:p>
        </w:tc>
      </w:tr>
      <w:tr>
        <w:tc>
          <w:tcPr>
            <w:tcW w:type="dxa" w:w="7776"/>
          </w:tcPr>
          <w:p>
            <w:r/>
            <w:r>
              <w:rPr>
                <w:sz w:val="16"/>
              </w:rPr>
              <w:t>The exchange kernel and the gibbs decision were unreachable from any test, inside run_gareus closures.</w:t>
            </w:r>
          </w:p>
        </w:tc>
        <w:tc>
          <w:tcPr>
            <w:tcW w:type="dxa" w:w="1872"/>
          </w:tcPr>
          <w:p>
            <w:r/>
            <w:r>
              <w:rPr>
                <w:sz w:val="16"/>
              </w:rPr>
              <w:t>FIXED — extracted and pinned</w:t>
            </w:r>
          </w:p>
        </w:tc>
      </w:tr>
    </w:tbl>
    <w:p>
      <w:pPr>
        <w:pStyle w:val="Heading1"/>
      </w:pPr>
      <w:r>
        <w:t>6  Recommendations</w:t>
      </w:r>
    </w:p>
    <w:tbl>
      <w:tblPr>
        <w:tblStyle w:val="LightList-Accent1"/>
        <w:tblW w:type="auto" w:w="0"/>
        <w:tblLook w:firstColumn="1" w:firstRow="1" w:lastColumn="0" w:lastRow="0" w:noHBand="0" w:noVBand="1" w:val="04A0"/>
      </w:tblPr>
      <w:tblGrid>
        <w:gridCol w:w="2880"/>
        <w:gridCol w:w="2880"/>
        <w:gridCol w:w="2880"/>
      </w:tblGrid>
      <w:tr>
        <w:tc>
          <w:tcPr>
            <w:tcW w:type="dxa" w:w="432"/>
          </w:tcPr>
          <w:p>
            <w:r/>
            <w:r>
              <w:rPr>
                <w:b/>
                <w:sz w:val="16"/>
              </w:rPr>
              <w:t>#</w:t>
            </w:r>
          </w:p>
        </w:tc>
        <w:tc>
          <w:tcPr>
            <w:tcW w:type="dxa" w:w="3456"/>
          </w:tcPr>
          <w:p>
            <w:r/>
            <w:r>
              <w:rPr>
                <w:b/>
                <w:sz w:val="16"/>
              </w:rPr>
              <w:t>Action</w:t>
            </w:r>
          </w:p>
        </w:tc>
        <w:tc>
          <w:tcPr>
            <w:tcW w:type="dxa" w:w="5760"/>
          </w:tcPr>
          <w:p>
            <w:r/>
            <w:r>
              <w:rPr>
                <w:b/>
                <w:sz w:val="16"/>
              </w:rPr>
              <w:t>Rationale</w:t>
            </w:r>
          </w:p>
        </w:tc>
      </w:tr>
      <w:tr>
        <w:tc>
          <w:tcPr>
            <w:tcW w:type="dxa" w:w="432"/>
          </w:tcPr>
          <w:p>
            <w:r/>
            <w:r>
              <w:rPr>
                <w:sz w:val="16"/>
              </w:rPr>
              <w:t>1</w:t>
            </w:r>
          </w:p>
        </w:tc>
        <w:tc>
          <w:tcPr>
            <w:tcW w:type="dxa" w:w="3456"/>
          </w:tcPr>
          <w:p>
            <w:r/>
            <w:r>
              <w:rPr>
                <w:sz w:val="16"/>
              </w:rPr>
              <w:t>Set σ0p ≈ 1.00 kcal/mol on future runs</w:t>
            </w:r>
          </w:p>
        </w:tc>
        <w:tc>
          <w:tcPr>
            <w:tcW w:type="dxa" w:w="5760"/>
          </w:tcPr>
          <w:p>
            <w:r/>
            <w:r>
              <w:rPr>
                <w:sz w:val="16"/>
              </w:rPr>
              <w:t>Puts the exponential estimator inside its finite-variance bound and makes CE2’s own error measurable. Changes the physics of future runs and breaks comparability with past ones — a decision, not a bug fix.</w:t>
            </w:r>
          </w:p>
        </w:tc>
      </w:tr>
      <w:tr>
        <w:tc>
          <w:tcPr>
            <w:tcW w:type="dxa" w:w="432"/>
          </w:tcPr>
          <w:p>
            <w:r/>
            <w:r>
              <w:rPr>
                <w:sz w:val="16"/>
              </w:rPr>
              <w:t>2</w:t>
            </w:r>
          </w:p>
        </w:tc>
        <w:tc>
          <w:tcPr>
            <w:tcW w:type="dxa" w:w="3456"/>
          </w:tcPr>
          <w:p>
            <w:r/>
            <w:r>
              <w:rPr>
                <w:sz w:val="16"/>
              </w:rPr>
              <w:t>Mirror the NaN mask into the exchange bias matrix</w:t>
            </w:r>
          </w:p>
        </w:tc>
        <w:tc>
          <w:tcPr>
            <w:tcW w:type="dxa" w:w="5760"/>
          </w:tcPr>
          <w:p>
            <w:r/>
            <w:r>
              <w:rPr>
                <w:sz w:val="16"/>
              </w:rPr>
              <w:t>Closes the one case where the default exchange mode does not target π.</w:t>
            </w:r>
          </w:p>
        </w:tc>
      </w:tr>
      <w:tr>
        <w:tc>
          <w:tcPr>
            <w:tcW w:type="dxa" w:w="432"/>
          </w:tcPr>
          <w:p>
            <w:r/>
            <w:r>
              <w:rPr>
                <w:sz w:val="16"/>
              </w:rPr>
              <w:t>3</w:t>
            </w:r>
          </w:p>
        </w:tc>
        <w:tc>
          <w:tcPr>
            <w:tcW w:type="dxa" w:w="3456"/>
          </w:tcPr>
          <w:p>
            <w:r/>
            <w:r>
              <w:rPr>
                <w:sz w:val="16"/>
              </w:rPr>
              <w:t>Reject the four C1-unsafe boost types at argument-parse time</w:t>
            </w:r>
          </w:p>
        </w:tc>
        <w:tc>
          <w:tcPr>
            <w:tcW w:type="dxa" w:w="5760"/>
          </w:tcPr>
          <w:p>
            <w:r/>
            <w:r>
              <w:rPr>
                <w:sz w:val="16"/>
              </w:rPr>
              <w:t>The cancellation premise is unguarded today.</w:t>
            </w:r>
          </w:p>
        </w:tc>
      </w:tr>
      <w:tr>
        <w:tc>
          <w:tcPr>
            <w:tcW w:type="dxa" w:w="432"/>
          </w:tcPr>
          <w:p>
            <w:r/>
            <w:r>
              <w:rPr>
                <w:sz w:val="16"/>
              </w:rPr>
              <w:t>4</w:t>
            </w:r>
          </w:p>
        </w:tc>
        <w:tc>
          <w:tcPr>
            <w:tcW w:type="dxa" w:w="3456"/>
          </w:tcPr>
          <w:p>
            <w:r/>
            <w:r>
              <w:rPr>
                <w:sz w:val="16"/>
              </w:rPr>
              <w:t>Write a per-frame rescue marker to Parquet</w:t>
            </w:r>
          </w:p>
        </w:tc>
        <w:tc>
          <w:tcPr>
            <w:tcW w:type="dxa" w:w="5760"/>
          </w:tcPr>
          <w:p>
            <w:r/>
            <w:r>
              <w:rPr>
                <w:sz w:val="16"/>
              </w:rPr>
              <w:t>So rescue-contaminated frames are excludable if the path ever fires.</w:t>
            </w:r>
          </w:p>
        </w:tc>
      </w:tr>
      <w:tr>
        <w:tc>
          <w:tcPr>
            <w:tcW w:type="dxa" w:w="432"/>
          </w:tcPr>
          <w:p>
            <w:r/>
            <w:r>
              <w:rPr>
                <w:sz w:val="16"/>
              </w:rPr>
              <w:t>5</w:t>
            </w:r>
          </w:p>
        </w:tc>
        <w:tc>
          <w:tcPr>
            <w:tcW w:type="dxa" w:w="3456"/>
          </w:tcPr>
          <w:p>
            <w:r/>
            <w:r>
              <w:rPr>
                <w:sz w:val="16"/>
              </w:rPr>
              <w:t>Investigate ParquetSampleWriter._consolidate for final/baseline</w:t>
            </w:r>
          </w:p>
        </w:tc>
        <w:tc>
          <w:tcPr>
            <w:tcW w:type="dxa" w:w="5760"/>
          </w:tcPr>
          <w:p>
            <w:r/>
            <w:r>
              <w:rPr>
                <w:sz w:val="16"/>
              </w:rPr>
              <w:t>45% un-deleted chunk duplication.</w:t>
            </w:r>
          </w:p>
        </w:tc>
      </w:tr>
      <w:tr>
        <w:tc>
          <w:tcPr>
            <w:tcW w:type="dxa" w:w="432"/>
          </w:tcPr>
          <w:p>
            <w:r/>
            <w:r>
              <w:rPr>
                <w:sz w:val="16"/>
              </w:rPr>
              <w:t>6</w:t>
            </w:r>
          </w:p>
        </w:tc>
        <w:tc>
          <w:tcPr>
            <w:tcW w:type="dxa" w:w="3456"/>
          </w:tcPr>
          <w:p>
            <w:r/>
            <w:r>
              <w:rPr>
                <w:sz w:val="16"/>
              </w:rPr>
              <w:t>Build the GaMD-on toy oracle (L3) and the GaMD-off ala-dipeptide run</w:t>
            </w:r>
          </w:p>
        </w:tc>
        <w:tc>
          <w:tcPr>
            <w:tcW w:type="dxa" w:w="5760"/>
          </w:tcPr>
          <w:p>
            <w:r/>
            <w:r>
              <w:rPr>
                <w:sz w:val="16"/>
              </w:rPr>
              <w:t>The two remaining uncovered links.</w:t>
            </w:r>
          </w:p>
        </w:tc>
      </w:tr>
    </w:tbl>
    <w:p>
      <w:pPr>
        <w:pStyle w:val="Heading1"/>
      </w:pPr>
      <w:r>
        <w:t>7  How this was verified</w:t>
      </w:r>
    </w:p>
    <w:p>
      <w:pPr>
        <w:spacing w:after="80"/>
      </w:pPr>
      <w:r>
        <w:rPr>
          <w:b w:val="0"/>
          <w:i w:val="0"/>
          <w:sz w:val="19"/>
        </w:rPr>
        <w:t>Every tier was re-checked adversarially after first being written, and the checks found real defects in the first drafts rather than confirming them. Corrections that changed a reported conclusion:</w:t>
      </w:r>
    </w:p>
    <w:tbl>
      <w:tblPr>
        <w:tblStyle w:val="LightList-Accent1"/>
        <w:tblW w:type="auto" w:w="0"/>
        <w:tblLook w:firstColumn="1" w:firstRow="1" w:lastColumn="0" w:lastRow="0" w:noHBand="0" w:noVBand="1" w:val="04A0"/>
      </w:tblPr>
      <w:tblGrid>
        <w:gridCol w:w="4320"/>
        <w:gridCol w:w="4320"/>
      </w:tblGrid>
      <w:tr>
        <w:tc>
          <w:tcPr>
            <w:tcW w:type="dxa" w:w="3888"/>
          </w:tcPr>
          <w:p>
            <w:r/>
            <w:r>
              <w:rPr>
                <w:b/>
                <w:sz w:val="16"/>
              </w:rPr>
              <w:t>What was claimed</w:t>
            </w:r>
          </w:p>
        </w:tc>
        <w:tc>
          <w:tcPr>
            <w:tcW w:type="dxa" w:w="5760"/>
          </w:tcPr>
          <w:p>
            <w:r/>
            <w:r>
              <w:rPr>
                <w:b/>
                <w:sz w:val="16"/>
              </w:rPr>
              <w:t>What survived</w:t>
            </w:r>
          </w:p>
        </w:tc>
      </w:tr>
      <w:tr>
        <w:tc>
          <w:tcPr>
            <w:tcW w:type="dxa" w:w="3888"/>
          </w:tcPr>
          <w:p>
            <w:r/>
            <w:r>
              <w:rPr>
                <w:sz w:val="16"/>
              </w:rPr>
              <w:t>βσ ≲ 1 is CE2’s validity domain, so the run is 5× outside it</w:t>
            </w:r>
          </w:p>
        </w:tc>
        <w:tc>
          <w:tcPr>
            <w:tcW w:type="dxa" w:w="5760"/>
          </w:tcPr>
          <w:p>
            <w:r/>
            <w:r>
              <w:rPr>
                <w:sz w:val="16"/>
              </w:rPr>
              <w:t>Invented criterion. CE2 is exact for a Gaussian boost at any width; the real diagnostic is non-Gaussianity, which rates WARN.</w:t>
            </w:r>
          </w:p>
        </w:tc>
      </w:tr>
      <w:tr>
        <w:tc>
          <w:tcPr>
            <w:tcW w:type="dxa" w:w="3888"/>
          </w:tcPr>
          <w:p>
            <w:r/>
            <w:r>
              <w:rPr>
                <w:sz w:val="16"/>
              </w:rPr>
              <w:t>The neglected CE2 tail is ≈ 0.95 kcal/mol</w:t>
            </w:r>
          </w:p>
        </w:tc>
        <w:tc>
          <w:tcPr>
            <w:tcW w:type="dxa" w:w="5760"/>
          </w:tcPr>
          <w:p>
            <w:r/>
            <w:r>
              <w:rPr>
                <w:sz w:val="16"/>
              </w:rPr>
              <w:t>Geometric extrapolation at ratio 2a applies within a bin, not across bins. Replaced by three estimators and a NOT-RESOLVED verdict.</w:t>
            </w:r>
          </w:p>
        </w:tc>
      </w:tr>
      <w:tr>
        <w:tc>
          <w:tcPr>
            <w:tcW w:type="dxa" w:w="3888"/>
          </w:tcPr>
          <w:p>
            <w:r/>
            <w:r>
              <w:rPr>
                <w:sz w:val="16"/>
              </w:rPr>
              <w:t>28/28 pairs pass, pooled slope −0.982 ± 0.005</w:t>
            </w:r>
          </w:p>
        </w:tc>
        <w:tc>
          <w:tcPr>
            <w:tcW w:type="dxa" w:w="5760"/>
          </w:tcPr>
          <w:p>
            <w:r/>
            <w:r>
              <w:rPr>
                <w:sz w:val="16"/>
              </w:rPr>
              <w:t>All 28 pairs shared one axis, so they carried no information about the contact CV; the interval was invalid under heterogeneity; the gate was arbitrary.</w:t>
            </w:r>
          </w:p>
        </w:tc>
      </w:tr>
      <w:tr>
        <w:tc>
          <w:tcPr>
            <w:tcW w:type="dxa" w:w="3888"/>
          </w:tcPr>
          <w:p>
            <w:r/>
            <w:r>
              <w:rPr>
                <w:sz w:val="16"/>
              </w:rPr>
              <w:t>Effective temperature 305.4 K</w:t>
            </w:r>
          </w:p>
        </w:tc>
        <w:tc>
          <w:tcPr>
            <w:tcW w:type="dxa" w:w="5760"/>
          </w:tcPr>
          <w:p>
            <w:r/>
            <w:r>
              <w:rPr>
                <w:sz w:val="16"/>
              </w:rPr>
              <w:t>A CV2-only measurement read as global. The other axis gives ~295 K.</w:t>
            </w:r>
          </w:p>
        </w:tc>
      </w:tr>
      <w:tr>
        <w:tc>
          <w:tcPr>
            <w:tcW w:type="dxa" w:w="3888"/>
          </w:tcPr>
          <w:p>
            <w:r/>
            <w:r>
              <w:rPr>
                <w:sz w:val="16"/>
              </w:rPr>
              <w:t>σ0p ≲ 1.66 kcal/mol fixes the boost</w:t>
            </w:r>
          </w:p>
        </w:tc>
        <w:tc>
          <w:tcPr>
            <w:tcW w:type="dxa" w:w="5760"/>
          </w:tcPr>
          <w:p>
            <w:r/>
            <w:r>
              <w:rPr>
                <w:sz w:val="16"/>
              </w:rPr>
              <w:t>Ignored the k0 clip — that value changes nothing. Corrected to 1.00.</w:t>
            </w:r>
          </w:p>
        </w:tc>
      </w:tr>
      <w:tr>
        <w:tc>
          <w:tcPr>
            <w:tcW w:type="dxa" w:w="3888"/>
          </w:tcPr>
          <w:p>
            <w:r/>
            <w:r>
              <w:rPr>
                <w:sz w:val="16"/>
              </w:rPr>
              <w:t>Pooling on window_id; k0′ from the first setup file found</w:t>
            </w:r>
          </w:p>
        </w:tc>
        <w:tc>
          <w:tcPr>
            <w:tcW w:type="dxa" w:w="5760"/>
          </w:tcPr>
          <w:p>
            <w:r/>
            <w:r>
              <w:rPr>
                <w:sz w:val="16"/>
              </w:rPr>
              <w:t>Both read a plausible artifact that was not the right one: window_id is phase-local, and the first file is the diagnostic pilot, not production.</w:t>
            </w:r>
          </w:p>
        </w:tc>
      </w:tr>
    </w:tbl>
    <w:p>
      <w:pPr>
        <w:spacing w:after="80"/>
      </w:pPr>
      <w:r>
        <w:rPr>
          <w:b w:val="0"/>
          <w:i w:val="0"/>
          <w:sz w:val="19"/>
        </w:rPr>
      </w:r>
    </w:p>
    <w:p>
      <w:pPr>
        <w:spacing w:after="80"/>
      </w:pPr>
      <w:r>
        <w:rPr>
          <w:b w:val="0"/>
          <w:i w:val="0"/>
          <w:sz w:val="18"/>
        </w:rPr>
        <w:t>Independent checks used: exact enumeration of the exchange kernel over all N! permutations; a 12-mutation battery against the shipped kernel with documented controls; verification of the chi-square algebra against draws from a known distribution; verification of the logistic-slope direction by exact-sampling simulation with a deliberately injected 10% force-constant error; and a 4000-realisation simulation of the pair-dependence structure. Full test suite: 2215 passed, 1 skipped, 0 failed.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