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GAREUS thermodynamic energy decomposition</w:t>
      </w:r>
    </w:p>
    <w:p>
      <w:pPr>
        <w:spacing w:after="120"/>
      </w:pPr>
      <w:r>
        <w:rPr>
          <w:color w:val="404040"/>
          <w:sz w:val="24"/>
          <w:szCs w:val="24"/>
        </w:rPr>
        <w:t xml:space="preserve">Basin enthalpy/entropy split, solvent share and backbone configurational entropy from Pep-GaMD per-sample energies</w:t>
      </w:r>
    </w:p>
    <w:p>
      <w:pPr>
        <w:spacing w:after="120"/>
      </w:pPr>
      <w:r>
        <w:t xml:space="preserve">Branch </w:t>
      </w:r>
      <w:r>
        <w:rPr>
          <w:rFonts w:ascii="Consolas" w:cs="Consolas" w:eastAsia="Consolas" w:hAnsi="Consolas"/>
          <w:sz w:val="19"/>
          <w:szCs w:val="19"/>
        </w:rPr>
        <w:t xml:space="preserve">feat/thermo-energy-decomposition</w:t>
      </w:r>
      <w:r>
        <w:t xml:space="preserve"> (uncommitted working tree on top of </w:t>
      </w:r>
      <w:r>
        <w:rPr>
          <w:rFonts w:ascii="Consolas" w:cs="Consolas" w:eastAsia="Consolas" w:hAnsi="Consolas"/>
          <w:sz w:val="19"/>
          <w:szCs w:val="19"/>
        </w:rPr>
        <w:t xml:space="preserve">6bea056</w:t>
      </w:r>
      <w:r>
        <w:t xml:space="preserve">). Report date 2026-09-23. Spec: </w:t>
      </w:r>
      <w:r>
        <w:rPr>
          <w:rFonts w:ascii="Consolas" w:cs="Consolas" w:eastAsia="Consolas" w:hAnsi="Consolas"/>
          <w:sz w:val="19"/>
          <w:szCs w:val="19"/>
        </w:rPr>
        <w:t xml:space="preserve">docs/superpowers/specs/2026-09-23-thermo-energy-decomposition/spec.md</w:t>
      </w:r>
      <w:r>
        <w:t xml:space="preserve">. Development data: chignolin_8_US.</w:t>
      </w:r>
    </w:p>
    <w:p>
      <w:pPr>
        <w:pStyle w:val="Heading1"/>
      </w:pPr>
      <w:r>
        <w:t xml:space="preserve">1. Summary</w:t>
      </w:r>
    </w:p>
    <w:p>
      <w:pPr>
        <w:spacing w:after="120"/>
      </w:pPr>
      <w:r>
        <w:t xml:space="preserve">The new </w:t>
      </w:r>
      <w:r>
        <w:rPr>
          <w:rFonts w:ascii="Consolas" w:cs="Consolas" w:eastAsia="Consolas" w:hAnsi="Consolas"/>
          <w:sz w:val="19"/>
          <w:szCs w:val="19"/>
        </w:rPr>
        <w:t xml:space="preserve">gareus-analyze</w:t>
      </w:r>
      <w:r>
        <w:t xml:space="preserve"> stage takes the per-sample energies that an exact-kernel Pep-GaMD campaign already records (</w:t>
      </w:r>
      <w:r>
        <w:rPr>
          <w:rFonts w:ascii="Consolas" w:cs="Consolas" w:eastAsia="Consolas" w:hAnsi="Consolas"/>
          <w:sz w:val="19"/>
          <w:szCs w:val="19"/>
        </w:rPr>
        <w:t xml:space="preserve">potential</w:t>
      </w:r>
      <w:r>
        <w:t xml:space="preserve">, </w:t>
      </w:r>
      <w:r>
        <w:rPr>
          <w:rFonts w:ascii="Consolas" w:cs="Consolas" w:eastAsia="Consolas" w:hAnsi="Consolas"/>
          <w:sz w:val="19"/>
          <w:szCs w:val="19"/>
        </w:rPr>
        <w:t xml:space="preserve">v_pep_kj_mol</w:t>
      </w:r>
      <w:r>
        <w:t xml:space="preserve">, </w:t>
      </w:r>
      <w:r>
        <w:rPr>
          <w:rFonts w:ascii="Consolas" w:cs="Consolas" w:eastAsia="Consolas" w:hAnsi="Consolas"/>
          <w:sz w:val="19"/>
          <w:szCs w:val="19"/>
        </w:rPr>
        <w:t xml:space="preserve">v_dih_kj_mol</w:t>
      </w:r>
      <w:r>
        <w:t xml:space="preserve">) and splits a basin-to-basin free-energy difference into enthalpy and entropy. It also gives the solvent share of that difference. The same unbiased MBAR weights that produce the PMF are used throughout, and no new MD or production change is needed. </w:t>
      </w:r>
      <w:r>
        <w:rPr>
          <w:b/>
          <w:bCs/>
        </w:rPr>
        <w:t xml:space="preserve">Phase 1</w:t>
      </w:r>
      <w:r>
        <w:t xml:space="preserve"> works from recorded columns only: ΔG, ΔH, −TΔS, the peptide/solvent split ΔV</w:t>
      </w:r>
      <w:r>
        <w:rPr>
          <w:vertAlign w:val="subscript"/>
        </w:rPr>
        <w:t xml:space="preserve">pep</w:t>
      </w:r>
      <w:r>
        <w:t xml:space="preserve"> + ΔU</w:t>
      </w:r>
      <w:r>
        <w:rPr>
          <w:vertAlign w:val="subscript"/>
        </w:rPr>
        <w:t xml:space="preserve">ee</w:t>
      </w:r>
      <w:r>
        <w:t xml:space="preserve">, and the derived entropy term −TΔS′ that excludes solvent reorganization. </w:t>
      </w:r>
      <w:r>
        <w:rPr>
          <w:b/>
          <w:bCs/>
        </w:rPr>
        <w:t xml:space="preserve">Phase 2</w:t>
      </w:r>
      <w:r>
        <w:t xml:space="preserve"> is opt-in (</w:t>
      </w:r>
      <w:r>
        <w:rPr>
          <w:rFonts w:ascii="Consolas" w:cs="Consolas" w:eastAsia="Consolas" w:hAnsi="Consolas"/>
          <w:sz w:val="19"/>
          <w:szCs w:val="19"/>
        </w:rPr>
        <w:t xml:space="preserve">--thermo-frames</w:t>
      </w:r>
      <w:r>
        <w:t xml:space="preserve">). It re-evaluates saved solute frames with a peptide-only PME System to split V</w:t>
      </w:r>
      <w:r>
        <w:rPr>
          <w:vertAlign w:val="subscript"/>
        </w:rPr>
        <w:t xml:space="preserve">pep</w:t>
      </w:r>
      <w:r>
        <w:t xml:space="preserve"> exactly into peptide–peptide (V</w:t>
      </w:r>
      <w:r>
        <w:rPr>
          <w:vertAlign w:val="subscript"/>
        </w:rPr>
        <w:t xml:space="preserve">pp</w:t>
      </w:r>
      <w:r>
        <w:t xml:space="preserve">) and peptide–environment (V</w:t>
      </w:r>
      <w:r>
        <w:rPr>
          <w:vertAlign w:val="subscript"/>
        </w:rPr>
        <w:t xml:space="preserve">pe</w:t>
      </w:r>
      <w:r>
        <w:t xml:space="preserve">) parts. It also computes a weighted mutual-information-expansion (MIE) backbone φ/ψ entropy per basin, and from that the solvent entropy by difference. Every quantity carries a paired block-bootstrap standard error.</w:t>
      </w:r>
    </w:p>
    <w:p>
      <w:pPr>
        <w:spacing w:after="120"/>
      </w:pPr>
      <w:r>
        <w:t xml:space="preserve">Headline on chignolin_8_US (basins </w:t>
      </w:r>
      <w:r>
        <w:rPr>
          <w:rFonts w:ascii="Consolas" w:cs="Consolas" w:eastAsia="Consolas" w:hAnsi="Consolas"/>
          <w:sz w:val="19"/>
          <w:szCs w:val="19"/>
        </w:rPr>
        <w:t xml:space="preserve">low</w:t>
      </w:r>
      <w:r>
        <w:t xml:space="preserve"> = CV1 ∈ [0.10, 0.35), </w:t>
      </w:r>
      <w:r>
        <w:rPr>
          <w:rFonts w:ascii="Consolas" w:cs="Consolas" w:eastAsia="Consolas" w:hAnsi="Consolas"/>
          <w:sz w:val="19"/>
          <w:szCs w:val="19"/>
        </w:rPr>
        <w:t xml:space="preserve">high</w:t>
      </w:r>
      <w:r>
        <w:t xml:space="preserve"> = [0.65, 0.90); all 481,616 samples; 200 bootstrap replicates). Moving from low to high contacts gives ΔG = +1.18 ± 0.33 kJ/mol and ΔH = +1.0 ± 6.9 kJ/mol. Within ΔH, ΔV</w:t>
      </w:r>
      <w:r>
        <w:rPr>
          <w:vertAlign w:val="subscript"/>
        </w:rPr>
        <w:t xml:space="preserve">pep</w:t>
      </w:r>
      <w:r>
        <w:t xml:space="preserve"> = +130.3 ± 12.3 kJ/mol and ΔU</w:t>
      </w:r>
      <w:r>
        <w:rPr>
          <w:vertAlign w:val="subscript"/>
        </w:rPr>
        <w:t xml:space="preserve">ee</w:t>
      </w:r>
      <w:r>
        <w:t xml:space="preserve"> = −129.3 ± 13.4 kJ/mol, so the peptide-involving energy lost is recovered almost exactly by the solvent. From the saved frames (48,112 samples, stride 10), the peptide–environment term rises by ΔV</w:t>
      </w:r>
      <w:r>
        <w:rPr>
          <w:vertAlign w:val="subscript"/>
        </w:rPr>
        <w:t xml:space="preserve">pe</w:t>
      </w:r>
      <w:r>
        <w:t xml:space="preserve"> = +284.5 ± 25.6 kJ/mol. This is paid for by peptide–peptide (ΔV</w:t>
      </w:r>
      <w:r>
        <w:rPr>
          <w:vertAlign w:val="subscript"/>
        </w:rPr>
        <w:t xml:space="preserve">pp</w:t>
      </w:r>
      <w:r>
        <w:t xml:space="preserve"> = −154.3 ± 13.0) and water–water (ΔU</w:t>
      </w:r>
      <w:r>
        <w:rPr>
          <w:vertAlign w:val="subscript"/>
        </w:rPr>
        <w:t xml:space="preserve">ee</w:t>
      </w:r>
      <w:r>
        <w:t xml:space="preserve"> = −127.8 ± 14.2) energy. Backbone entropy is TΔS</w:t>
      </w:r>
      <w:r>
        <w:rPr>
          <w:vertAlign w:val="subscript"/>
        </w:rPr>
        <w:t xml:space="preserve">conf</w:t>
      </w:r>
      <w:r>
        <w:t xml:space="preserve"> = +3.1 ± 0.8 kJ/mol at MIE-1 and −10.1 ± 3.2 kJ/mol at MIE-2, so the sign flips once pair correlations are counted. The solvent (non-backbone) entropy term by difference is −TΔS</w:t>
      </w:r>
      <w:r>
        <w:rPr>
          <w:vertAlign w:val="subscript"/>
        </w:rPr>
        <w:t xml:space="preserve">solv</w:t>
      </w:r>
      <w:r>
        <w:t xml:space="preserve"> = −11.3 ± 7.1 kJ/mol, i.e. TΔS</w:t>
      </w:r>
      <w:r>
        <w:rPr>
          <w:vertAlign w:val="subscript"/>
        </w:rPr>
        <w:t xml:space="preserve">solv</w:t>
      </w:r>
      <w:r>
        <w:t xml:space="preserve"> ≈ +11.3 kJ/mol at 1.6σ.</w:t>
      </w:r>
    </w:p>
    <w:p>
      <w:pPr>
        <w:spacing w:after="120"/>
      </w:pPr>
      <w:r>
        <w:rPr>
          <w:b/>
          <w:bCs/>
        </w:rPr>
        <w:t xml:space="preserve">Caveat.</w:t>
      </w:r>
      <w:r>
        <w:t xml:space="preserve"> chignolin_8 never sampled the native hairpin. The basin pair is a contact-fraction split of an unfolded ensemble, not a folding free energy. The run was also never boosted (weights </w:t>
      </w:r>
      <w:r>
        <w:rPr>
          <w:rFonts w:ascii="Consolas" w:cs="Consolas" w:eastAsia="Consolas" w:hAnsi="Consolas"/>
          <w:sz w:val="19"/>
          <w:szCs w:val="19"/>
        </w:rPr>
        <w:t xml:space="preserve">mbar_unboosted</w:t>
      </w:r>
      <w:r>
        <w:t xml:space="preserve">), so the λ-ladder path of the stage has been exercised only by synthetic tests. chignolin_9 will be the first real ladder campaign.</w:t>
      </w:r>
    </w:p>
    <w:p>
      <w:pPr>
        <w:pStyle w:val="Heading1"/>
      </w:pPr>
      <w:r>
        <w:t xml:space="preserve">2. Theory</w:t>
      </w:r>
    </w:p>
    <w:p>
      <w:pPr>
        <w:pStyle w:val="Heading2"/>
      </w:pPr>
      <w:r>
        <w:t xml:space="preserve">2.1 Recorded inputs and derived channels</w:t>
      </w:r>
    </w:p>
    <w:p>
      <w:pPr>
        <w:spacing w:after="120"/>
      </w:pPr>
      <w:r>
        <w:t xml:space="preserve">On the exact kernel (</w:t>
      </w:r>
      <w:r>
        <w:rPr>
          <w:rFonts w:ascii="Consolas" w:cs="Consolas" w:eastAsia="Consolas" w:hAnsi="Consolas"/>
          <w:sz w:val="19"/>
          <w:szCs w:val="19"/>
        </w:rPr>
        <w:t xml:space="preserve">pep-gamd-lower-dual</w:t>
      </w:r>
      <w:r>
        <w:t xml:space="preserve">), force group 0 holds the physical bonded terms and full PME, group 1 the auxiliary water-only </w:t>
      </w:r>
      <w:r>
        <w:rPr>
          <w:rFonts w:ascii="Consolas" w:cs="Consolas" w:eastAsia="Consolas" w:hAnsi="Consolas"/>
          <w:sz w:val="19"/>
          <w:szCs w:val="19"/>
        </w:rPr>
        <w:t xml:space="preserve">NonbondedForce</w:t>
      </w:r>
      <w:r>
        <w:t xml:space="preserve"> (E</w:t>
      </w:r>
      <w:r>
        <w:rPr>
          <w:vertAlign w:val="subscript"/>
        </w:rPr>
        <w:t xml:space="preserve">1</w:t>
      </w:r>
      <w:r>
        <w:t xml:space="preserve">: solvent and ions, peptide charges/ε and exceptions zeroed, PME parameters pinned), group 2 the peptide torsions, and groups 29/31 the umbrella. Each sample row stores </w:t>
      </w:r>
      <w:r>
        <w:rPr>
          <w:rFonts w:ascii="Consolas" w:cs="Consolas" w:eastAsia="Consolas" w:hAnsi="Consolas"/>
          <w:sz w:val="19"/>
          <w:szCs w:val="19"/>
        </w:rPr>
        <w:t xml:space="preserve">potential</w:t>
      </w:r>
      <w:r>
        <w:t xml:space="preserve"> = all groups except 1 (physical E</w:t>
      </w:r>
      <w:r>
        <w:rPr>
          <w:vertAlign w:val="subscript"/>
        </w:rPr>
        <w:t xml:space="preserve">0</w:t>
      </w:r>
      <w:r>
        <w:t xml:space="preserve"> + E</w:t>
      </w:r>
      <w:r>
        <w:rPr>
          <w:vertAlign w:val="subscript"/>
        </w:rPr>
        <w:t xml:space="preserve">2</w:t>
      </w:r>
      <w:r>
        <w:t xml:space="preserve"> plus the own-window umbrella W), </w:t>
      </w:r>
      <w:r>
        <w:rPr>
          <w:rFonts w:ascii="Consolas" w:cs="Consolas" w:eastAsia="Consolas" w:hAnsi="Consolas"/>
          <w:sz w:val="19"/>
          <w:szCs w:val="19"/>
        </w:rPr>
        <w:t xml:space="preserve">v_pep</w:t>
      </w:r>
      <w:r>
        <w:t xml:space="preserve"> = E</w:t>
      </w:r>
      <w:r>
        <w:rPr>
          <w:vertAlign w:val="subscript"/>
        </w:rPr>
        <w:t xml:space="preserve">0</w:t>
      </w:r>
      <w:r>
        <w:t xml:space="preserve"> − E</w:t>
      </w:r>
      <w:r>
        <w:rPr>
          <w:vertAlign w:val="subscript"/>
        </w:rPr>
        <w:t xml:space="preserve">1</w:t>
      </w:r>
      <w:r>
        <w:t xml:space="preserve"> + E</w:t>
      </w:r>
      <w:r>
        <w:rPr>
          <w:vertAlign w:val="subscript"/>
        </w:rPr>
        <w:t xml:space="preserve">2</w:t>
      </w:r>
      <w:r>
        <w:t xml:space="preserve"> and </w:t>
      </w:r>
      <w:r>
        <w:rPr>
          <w:rFonts w:ascii="Consolas" w:cs="Consolas" w:eastAsia="Consolas" w:hAnsi="Consolas"/>
          <w:sz w:val="19"/>
          <w:szCs w:val="19"/>
        </w:rPr>
        <w:t xml:space="preserve">v_dih</w:t>
      </w:r>
      <w:r>
        <w:t xml:space="preserve"> = E</w:t>
      </w:r>
      <w:r>
        <w:rPr>
          <w:vertAlign w:val="subscript"/>
        </w:rPr>
        <w:t xml:space="preserve">2</w:t>
      </w:r>
      <w:r>
        <w:t xml:space="preserve">. Table 1 lists the channels built from them.</w:t>
      </w:r>
    </w:p>
    <w:p>
      <w:pPr>
        <w:keepNext/>
        <w:spacing w:after="80" w:before="160"/>
      </w:pPr>
      <w:r>
        <w:rPr>
          <w:b/>
          <w:bCs/>
          <w:sz w:val="19"/>
          <w:szCs w:val="19"/>
        </w:rPr>
        <w:t xml:space="preserve">Table 1. </w:t>
      </w:r>
      <w:r>
        <w:rPr>
          <w:sz w:val="19"/>
          <w:szCs w:val="19"/>
        </w:rPr>
        <w:t xml:space="preserve">Per-sample channels (kJ/mol). Δ(λ) is the ladder boost </w:t>
      </w:r>
      <w:r>
        <w:rPr>
          <w:rFonts w:ascii="Consolas" w:cs="Consolas" w:eastAsia="Consolas" w:hAnsi="Consolas"/>
          <w:sz w:val="17"/>
          <w:szCs w:val="17"/>
        </w:rPr>
        <w:t xml:space="preserve">pep_gamd_boost_kj</w:t>
      </w:r>
      <w:r>
        <w:rPr>
          <w:sz w:val="19"/>
          <w:szCs w:val="19"/>
        </w:rPr>
        <w:t xml:space="preserve"> on the frozen envelope; it is zero off-ladder.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7"/>
        <w:gridCol w:w="3808"/>
        <w:gridCol w:w="4283"/>
      </w:tblGrid>
      <w:tr>
        <w:trPr>
          <w:tblHeader/>
        </w:trPr>
        <w:tc>
          <w:tcPr>
            <w:tcW w:type="dxa" w:w="1547"/>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Channel</w:t>
            </w:r>
          </w:p>
        </w:tc>
        <w:tc>
          <w:tcPr>
            <w:tcW w:type="dxa" w:w="3808"/>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Definition</w:t>
            </w:r>
          </w:p>
        </w:tc>
        <w:tc>
          <w:tcPr>
            <w:tcW w:type="dxa" w:w="4283"/>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Content</w:t>
            </w:r>
          </w:p>
        </w:tc>
      </w:tr>
      <w:tr>
        <w:trPr>
          <w:cantSplit/>
        </w:trPr>
        <w:tc>
          <w:tcPr>
            <w:tcW w:type="dxa" w:w="154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W</w:t>
            </w:r>
            <w:r>
              <w:rPr>
                <w:sz w:val="18"/>
                <w:szCs w:val="18"/>
                <w:vertAlign w:val="subscript"/>
              </w:rPr>
              <w:t xml:space="preserve">own</w:t>
            </w:r>
          </w:p>
        </w:tc>
        <w:tc>
          <w:tcPr>
            <w:tcW w:type="dxa" w:w="380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u</w:t>
            </w:r>
            <w:r>
              <w:rPr>
                <w:sz w:val="18"/>
                <w:szCs w:val="18"/>
                <w:vertAlign w:val="subscript"/>
              </w:rPr>
              <w:t xml:space="preserve">nk</w:t>
            </w:r>
            <w:r>
              <w:rPr>
                <w:sz w:val="18"/>
                <w:szCs w:val="18"/>
              </w:rPr>
              <w:t xml:space="preserve">[n, w</w:t>
            </w:r>
            <w:r>
              <w:rPr>
                <w:sz w:val="18"/>
                <w:szCs w:val="18"/>
                <w:vertAlign w:val="subscript"/>
              </w:rPr>
              <w:t xml:space="preserve">n</w:t>
            </w:r>
            <w:r>
              <w:rPr>
                <w:sz w:val="18"/>
                <w:szCs w:val="18"/>
              </w:rPr>
              <w:t xml:space="preserve">]/β − Δ(λ</w:t>
            </w:r>
            <w:r>
              <w:rPr>
                <w:sz w:val="18"/>
                <w:szCs w:val="18"/>
                <w:vertAlign w:val="subscript"/>
              </w:rPr>
              <w:t xml:space="preserve">w_n</w:t>
            </w:r>
            <w:r>
              <w:rPr>
                <w:sz w:val="18"/>
                <w:szCs w:val="18"/>
              </w:rPr>
              <w:t xml:space="preserve">; v</w:t>
            </w:r>
            <w:r>
              <w:rPr>
                <w:sz w:val="18"/>
                <w:szCs w:val="18"/>
                <w:vertAlign w:val="subscript"/>
              </w:rPr>
              <w:t xml:space="preserve">pep</w:t>
            </w:r>
            <w:r>
              <w:rPr>
                <w:sz w:val="18"/>
                <w:szCs w:val="18"/>
              </w:rPr>
              <w:t xml:space="preserve">, v</w:t>
            </w:r>
            <w:r>
              <w:rPr>
                <w:sz w:val="18"/>
                <w:szCs w:val="18"/>
                <w:vertAlign w:val="subscript"/>
              </w:rPr>
              <w:t xml:space="preserve">dih</w:t>
            </w:r>
            <w:r>
              <w:rPr>
                <w:sz w:val="18"/>
                <w:szCs w:val="18"/>
              </w:rPr>
              <w:t xml:space="preserve">)</w:t>
            </w:r>
          </w:p>
        </w:tc>
        <w:tc>
          <w:tcPr>
            <w:tcW w:type="dxa" w:w="42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own-window umbrella energy (ladder boost removed with the same function </w:t>
            </w:r>
            <w:r>
              <w:rPr>
                <w:rFonts w:ascii="Consolas" w:cs="Consolas" w:eastAsia="Consolas" w:hAnsi="Consolas"/>
                <w:sz w:val="16"/>
                <w:szCs w:val="16"/>
              </w:rPr>
              <w:t xml:space="preserve">apply_ladder_boost_to_u</w:t>
            </w:r>
            <w:r>
              <w:rPr>
                <w:sz w:val="18"/>
                <w:szCs w:val="18"/>
              </w:rPr>
              <w:t xml:space="preserve"> adds)</w:t>
            </w:r>
          </w:p>
        </w:tc>
      </w:tr>
      <w:tr>
        <w:trPr>
          <w:cantSplit/>
        </w:trPr>
        <w:tc>
          <w:tcPr>
            <w:tcW w:type="dxa" w:w="154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U</w:t>
            </w:r>
          </w:p>
        </w:tc>
        <w:tc>
          <w:tcPr>
            <w:tcW w:type="dxa" w:w="380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potential − W</w:t>
            </w:r>
            <w:r>
              <w:rPr>
                <w:sz w:val="18"/>
                <w:szCs w:val="18"/>
                <w:vertAlign w:val="subscript"/>
              </w:rPr>
              <w:t xml:space="preserve">own</w:t>
            </w:r>
          </w:p>
        </w:tc>
        <w:tc>
          <w:tcPr>
            <w:tcW w:type="dxa" w:w="42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physical potential energy E</w:t>
            </w:r>
            <w:r>
              <w:rPr>
                <w:sz w:val="18"/>
                <w:szCs w:val="18"/>
                <w:vertAlign w:val="subscript"/>
              </w:rPr>
              <w:t xml:space="preserve">0</w:t>
            </w:r>
            <w:r>
              <w:rPr>
                <w:sz w:val="18"/>
                <w:szCs w:val="18"/>
              </w:rPr>
              <w:t xml:space="preserve"> + E</w:t>
            </w:r>
            <w:r>
              <w:rPr>
                <w:sz w:val="18"/>
                <w:szCs w:val="18"/>
                <w:vertAlign w:val="subscript"/>
              </w:rPr>
              <w:t xml:space="preserve">2</w:t>
            </w:r>
          </w:p>
        </w:tc>
      </w:tr>
      <w:tr>
        <w:trPr>
          <w:cantSplit/>
        </w:trPr>
        <w:tc>
          <w:tcPr>
            <w:tcW w:type="dxa" w:w="154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V</w:t>
            </w:r>
            <w:r>
              <w:rPr>
                <w:sz w:val="18"/>
                <w:szCs w:val="18"/>
                <w:vertAlign w:val="subscript"/>
              </w:rPr>
              <w:t xml:space="preserve">pep</w:t>
            </w:r>
          </w:p>
        </w:tc>
        <w:tc>
          <w:tcPr>
            <w:tcW w:type="dxa" w:w="380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v</w:t>
            </w:r>
            <w:r>
              <w:rPr>
                <w:sz w:val="18"/>
                <w:szCs w:val="18"/>
                <w:vertAlign w:val="subscript"/>
              </w:rPr>
              <w:t xml:space="preserve">pep</w:t>
            </w:r>
            <w:r>
              <w:rPr>
                <w:sz w:val="18"/>
                <w:szCs w:val="18"/>
              </w:rPr>
              <w:t xml:space="preserve"> = E</w:t>
            </w:r>
            <w:r>
              <w:rPr>
                <w:sz w:val="18"/>
                <w:szCs w:val="18"/>
                <w:vertAlign w:val="subscript"/>
              </w:rPr>
              <w:t xml:space="preserve">0</w:t>
            </w:r>
            <w:r>
              <w:rPr>
                <w:sz w:val="18"/>
                <w:szCs w:val="18"/>
              </w:rPr>
              <w:t xml:space="preserve"> − E</w:t>
            </w:r>
            <w:r>
              <w:rPr>
                <w:sz w:val="18"/>
                <w:szCs w:val="18"/>
                <w:vertAlign w:val="subscript"/>
              </w:rPr>
              <w:t xml:space="preserve">1</w:t>
            </w:r>
            <w:r>
              <w:rPr>
                <w:sz w:val="18"/>
                <w:szCs w:val="18"/>
              </w:rPr>
              <w:t xml:space="preserve"> + E</w:t>
            </w:r>
            <w:r>
              <w:rPr>
                <w:sz w:val="18"/>
                <w:szCs w:val="18"/>
                <w:vertAlign w:val="subscript"/>
              </w:rPr>
              <w:t xml:space="preserve">2</w:t>
            </w:r>
          </w:p>
        </w:tc>
        <w:tc>
          <w:tcPr>
            <w:tcW w:type="dxa" w:w="42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pp + pe nonbonded, peptide bonded, torsions</w:t>
            </w:r>
          </w:p>
        </w:tc>
      </w:tr>
      <w:tr>
        <w:trPr>
          <w:cantSplit/>
        </w:trPr>
        <w:tc>
          <w:tcPr>
            <w:tcW w:type="dxa" w:w="154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U</w:t>
            </w:r>
            <w:r>
              <w:rPr>
                <w:sz w:val="18"/>
                <w:szCs w:val="18"/>
                <w:vertAlign w:val="subscript"/>
              </w:rPr>
              <w:t xml:space="preserve">ee</w:t>
            </w:r>
          </w:p>
        </w:tc>
        <w:tc>
          <w:tcPr>
            <w:tcW w:type="dxa" w:w="380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U − V</w:t>
            </w:r>
            <w:r>
              <w:rPr>
                <w:sz w:val="18"/>
                <w:szCs w:val="18"/>
                <w:vertAlign w:val="subscript"/>
              </w:rPr>
              <w:t xml:space="preserve">pep</w:t>
            </w:r>
            <w:r>
              <w:rPr>
                <w:sz w:val="18"/>
                <w:szCs w:val="18"/>
              </w:rPr>
              <w:t xml:space="preserve"> = E</w:t>
            </w:r>
            <w:r>
              <w:rPr>
                <w:sz w:val="18"/>
                <w:szCs w:val="18"/>
                <w:vertAlign w:val="subscript"/>
              </w:rPr>
              <w:t xml:space="preserve">1</w:t>
            </w:r>
          </w:p>
        </w:tc>
        <w:tc>
          <w:tcPr>
            <w:tcW w:type="dxa" w:w="42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solvent/ion–solvent/ion nonbonded (exact PME)</w:t>
            </w:r>
          </w:p>
        </w:tc>
      </w:tr>
      <w:tr>
        <w:trPr>
          <w:cantSplit/>
        </w:trPr>
        <w:tc>
          <w:tcPr>
            <w:tcW w:type="dxa" w:w="154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V</w:t>
            </w:r>
            <w:r>
              <w:rPr>
                <w:sz w:val="18"/>
                <w:szCs w:val="18"/>
                <w:vertAlign w:val="subscript"/>
              </w:rPr>
              <w:t xml:space="preserve">dih</w:t>
            </w:r>
          </w:p>
        </w:tc>
        <w:tc>
          <w:tcPr>
            <w:tcW w:type="dxa" w:w="380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v</w:t>
            </w:r>
            <w:r>
              <w:rPr>
                <w:sz w:val="18"/>
                <w:szCs w:val="18"/>
                <w:vertAlign w:val="subscript"/>
              </w:rPr>
              <w:t xml:space="preserve">dih</w:t>
            </w:r>
            <w:r>
              <w:rPr>
                <w:sz w:val="18"/>
                <w:szCs w:val="18"/>
              </w:rPr>
              <w:t xml:space="preserve"> = E</w:t>
            </w:r>
            <w:r>
              <w:rPr>
                <w:sz w:val="18"/>
                <w:szCs w:val="18"/>
                <w:vertAlign w:val="subscript"/>
              </w:rPr>
              <w:t xml:space="preserve">2</w:t>
            </w:r>
          </w:p>
        </w:tc>
        <w:tc>
          <w:tcPr>
            <w:tcW w:type="dxa" w:w="42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peptide torsions (PeriodicTorsion + CMAP)</w:t>
            </w:r>
          </w:p>
        </w:tc>
      </w:tr>
      <w:tr>
        <w:trPr>
          <w:cantSplit/>
        </w:trPr>
        <w:tc>
          <w:tcPr>
            <w:tcW w:type="dxa" w:w="154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V</w:t>
            </w:r>
            <w:r>
              <w:rPr>
                <w:sz w:val="18"/>
                <w:szCs w:val="18"/>
                <w:vertAlign w:val="subscript"/>
              </w:rPr>
              <w:t xml:space="preserve">nt</w:t>
            </w:r>
          </w:p>
        </w:tc>
        <w:tc>
          <w:tcPr>
            <w:tcW w:type="dxa" w:w="380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V</w:t>
            </w:r>
            <w:r>
              <w:rPr>
                <w:sz w:val="18"/>
                <w:szCs w:val="18"/>
                <w:vertAlign w:val="subscript"/>
              </w:rPr>
              <w:t xml:space="preserve">pep</w:t>
            </w:r>
            <w:r>
              <w:rPr>
                <w:sz w:val="18"/>
                <w:szCs w:val="18"/>
              </w:rPr>
              <w:t xml:space="preserve"> − V</w:t>
            </w:r>
            <w:r>
              <w:rPr>
                <w:sz w:val="18"/>
                <w:szCs w:val="18"/>
                <w:vertAlign w:val="subscript"/>
              </w:rPr>
              <w:t xml:space="preserve">dih</w:t>
            </w:r>
          </w:p>
        </w:tc>
        <w:tc>
          <w:tcPr>
            <w:tcW w:type="dxa" w:w="42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V</w:t>
            </w:r>
            <w:r>
              <w:rPr>
                <w:sz w:val="18"/>
                <w:szCs w:val="18"/>
                <w:vertAlign w:val="subscript"/>
              </w:rPr>
              <w:t xml:space="preserve">pep</w:t>
            </w:r>
            <w:r>
              <w:rPr>
                <w:sz w:val="18"/>
                <w:szCs w:val="18"/>
              </w:rPr>
              <w:t xml:space="preserve"> without torsions</w:t>
            </w:r>
          </w:p>
        </w:tc>
      </w:tr>
      <w:tr>
        <w:trPr>
          <w:cantSplit/>
        </w:trPr>
        <w:tc>
          <w:tcPr>
            <w:tcW w:type="dxa" w:w="154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V</w:t>
            </w:r>
            <w:r>
              <w:rPr>
                <w:sz w:val="18"/>
                <w:szCs w:val="18"/>
                <w:vertAlign w:val="subscript"/>
              </w:rPr>
              <w:t xml:space="preserve">pp</w:t>
            </w:r>
            <w:r>
              <w:rPr>
                <w:sz w:val="18"/>
                <w:szCs w:val="18"/>
              </w:rPr>
              <w:t xml:space="preserve"> (phase 2)</w:t>
            </w:r>
          </w:p>
        </w:tc>
        <w:tc>
          <w:tcPr>
            <w:tcW w:type="dxa" w:w="380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NB</w:t>
            </w:r>
            <w:r>
              <w:rPr>
                <w:sz w:val="18"/>
                <w:szCs w:val="18"/>
                <w:vertAlign w:val="subscript"/>
              </w:rPr>
              <w:t xml:space="preserve">pp</w:t>
            </w:r>
            <w:r>
              <w:rPr>
                <w:sz w:val="18"/>
                <w:szCs w:val="18"/>
              </w:rPr>
              <w:t xml:space="preserve"> + bonded</w:t>
            </w:r>
            <w:r>
              <w:rPr>
                <w:sz w:val="18"/>
                <w:szCs w:val="18"/>
                <w:vertAlign w:val="subscript"/>
              </w:rPr>
              <w:t xml:space="preserve">pep</w:t>
            </w:r>
            <w:r>
              <w:rPr>
                <w:sz w:val="18"/>
                <w:szCs w:val="18"/>
              </w:rPr>
              <w:t xml:space="preserve"> + E</w:t>
            </w:r>
            <w:r>
              <w:rPr>
                <w:sz w:val="18"/>
                <w:szCs w:val="18"/>
                <w:vertAlign w:val="subscript"/>
              </w:rPr>
              <w:t xml:space="preserve">dih</w:t>
            </w:r>
            <w:r>
              <w:rPr>
                <w:sz w:val="18"/>
                <w:szCs w:val="18"/>
              </w:rPr>
              <w:t xml:space="preserve"> from peptide-only System</w:t>
            </w:r>
          </w:p>
        </w:tc>
        <w:tc>
          <w:tcPr>
            <w:tcW w:type="dxa" w:w="42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peptide with its own periodic images</w:t>
            </w:r>
          </w:p>
        </w:tc>
      </w:tr>
      <w:tr>
        <w:trPr>
          <w:cantSplit/>
        </w:trPr>
        <w:tc>
          <w:tcPr>
            <w:tcW w:type="dxa" w:w="154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V</w:t>
            </w:r>
            <w:r>
              <w:rPr>
                <w:sz w:val="18"/>
                <w:szCs w:val="18"/>
                <w:vertAlign w:val="subscript"/>
              </w:rPr>
              <w:t xml:space="preserve">pe</w:t>
            </w:r>
            <w:r>
              <w:rPr>
                <w:sz w:val="18"/>
                <w:szCs w:val="18"/>
              </w:rPr>
              <w:t xml:space="preserve"> (phase 2)</w:t>
            </w:r>
          </w:p>
        </w:tc>
        <w:tc>
          <w:tcPr>
            <w:tcW w:type="dxa" w:w="380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V</w:t>
            </w:r>
            <w:r>
              <w:rPr>
                <w:sz w:val="18"/>
                <w:szCs w:val="18"/>
                <w:vertAlign w:val="subscript"/>
              </w:rPr>
              <w:t xml:space="preserve">pep</w:t>
            </w:r>
            <w:r>
              <w:rPr>
                <w:sz w:val="18"/>
                <w:szCs w:val="18"/>
              </w:rPr>
              <w:t xml:space="preserve"> − V</w:t>
            </w:r>
            <w:r>
              <w:rPr>
                <w:sz w:val="18"/>
                <w:szCs w:val="18"/>
                <w:vertAlign w:val="subscript"/>
              </w:rPr>
              <w:t xml:space="preserve">pp</w:t>
            </w:r>
          </w:p>
        </w:tc>
        <w:tc>
          <w:tcPr>
            <w:tcW w:type="dxa" w:w="42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NB</w:t>
            </w:r>
            <w:r>
              <w:rPr>
                <w:sz w:val="18"/>
                <w:szCs w:val="18"/>
                <w:vertAlign w:val="subscript"/>
              </w:rPr>
              <w:t xml:space="preserve">pe</w:t>
            </w:r>
            <w:r>
              <w:rPr>
                <w:sz w:val="18"/>
                <w:szCs w:val="18"/>
              </w:rPr>
              <w:t xml:space="preserve"> + dispersion-correction difference</w:t>
            </w:r>
          </w:p>
        </w:tc>
      </w:tr>
    </w:tbl>
    <w:p>
      <w:pPr>
        <w:pStyle w:val="Heading2"/>
      </w:pPr>
      <w:r>
        <w:t xml:space="preserve">2.2 Basin thermodynamics</w:t>
      </w:r>
    </w:p>
    <w:p>
      <w:pPr>
        <w:spacing w:after="120"/>
      </w:pPr>
      <w:r>
        <w:t xml:space="preserve">Weights are the global MBAR weights w</w:t>
      </w:r>
      <w:r>
        <w:rPr>
          <w:vertAlign w:val="subscript"/>
        </w:rPr>
        <w:t xml:space="preserve">n</w:t>
      </w:r>
      <w:r>
        <w:t xml:space="preserve"> = </w:t>
      </w:r>
      <w:r>
        <w:rPr>
          <w:rFonts w:ascii="Consolas" w:cs="Consolas" w:eastAsia="Consolas" w:hAnsi="Consolas"/>
          <w:sz w:val="19"/>
          <w:szCs w:val="19"/>
        </w:rPr>
        <w:t xml:space="preserve">norm_logw(m["logw"])</w:t>
      </w:r>
      <w:r>
        <w:t xml:space="preserve"> over the full population, which is the same array used by the Rg analysis and the 2D FES. Basins are half-open intervals [LO, HI) in CV1. With P</w:t>
      </w:r>
      <w:r>
        <w:rPr>
          <w:vertAlign w:val="subscript"/>
        </w:rPr>
        <w:t xml:space="preserve">A</w:t>
      </w:r>
      <w:r>
        <w:t xml:space="preserve"> = Σ</w:t>
      </w:r>
      <w:r>
        <w:rPr>
          <w:vertAlign w:val="subscript"/>
        </w:rPr>
        <w:t xml:space="preserve">n∈A</w:t>
      </w:r>
      <w:r>
        <w:t xml:space="preserve"> w</w:t>
      </w:r>
      <w:r>
        <w:rPr>
          <w:vertAlign w:val="subscript"/>
        </w:rPr>
        <w:t xml:space="preserve">n</w:t>
      </w:r>
      <w:r>
        <w:t xml:space="preserve"> and ⟨X⟩</w:t>
      </w:r>
      <w:r>
        <w:rPr>
          <w:vertAlign w:val="subscript"/>
        </w:rPr>
        <w:t xml:space="preserve">A</w:t>
      </w:r>
      <w:r>
        <w:t xml:space="preserve"> = Σ</w:t>
      </w:r>
      <w:r>
        <w:rPr>
          <w:vertAlign w:val="subscript"/>
        </w:rPr>
        <w:t xml:space="preserve">n∈A</w:t>
      </w:r>
      <w:r>
        <w:t xml:space="preserve"> w</w:t>
      </w:r>
      <w:r>
        <w:rPr>
          <w:vertAlign w:val="subscript"/>
        </w:rPr>
        <w:t xml:space="preserve">n</w:t>
      </w:r>
      <w:r>
        <w:t xml:space="preserve">X</w:t>
      </w:r>
      <w:r>
        <w:rPr>
          <w:vertAlign w:val="subscript"/>
        </w:rPr>
        <w:t xml:space="preserve">n</w:t>
      </w:r>
      <w:r>
        <w:t xml:space="preserve">/P</w:t>
      </w:r>
      <w:r>
        <w:rPr>
          <w:vertAlign w:val="subscript"/>
        </w:rPr>
        <w:t xml:space="preserve">A</w:t>
      </w:r>
      <w:r>
        <w:t xml:space="preserve">:</w:t>
      </w:r>
    </w:p>
    <w:p>
      <w:pPr>
        <w:tabs>
          <w:tab w:val="center" w:pos="4819"/>
          <w:tab w:val="right" w:pos="9638"/>
        </w:tabs>
        <w:spacing w:after="120" w:before="60"/>
      </w:pPr>
      <w:r>
        <w:t xml:space="preserve">	</w:t>
      </w:r>
      <w:r>
        <w:rPr>
          <w:rFonts w:ascii="Cambria Math" w:cs="Cambria Math" w:eastAsia="Cambria Math" w:hAnsi="Cambria Math"/>
          <w:sz w:val="22"/>
          <w:szCs w:val="22"/>
        </w:rPr>
        <w:t xml:space="preserve">ΔG</w:t>
      </w:r>
      <w:r>
        <w:rPr>
          <w:rFonts w:ascii="Cambria Math" w:cs="Cambria Math" w:eastAsia="Cambria Math" w:hAnsi="Cambria Math"/>
          <w:sz w:val="22"/>
          <w:szCs w:val="22"/>
          <w:vertAlign w:val="subscript"/>
        </w:rPr>
        <w:t xml:space="preserve">AB</w:t>
      </w:r>
      <w:r>
        <w:rPr>
          <w:rFonts w:ascii="Cambria Math" w:cs="Cambria Math" w:eastAsia="Cambria Math" w:hAnsi="Cambria Math"/>
          <w:sz w:val="22"/>
          <w:szCs w:val="22"/>
        </w:rPr>
        <w:t xml:space="preserve"> = −kT ln(P</w:t>
      </w:r>
      <w:r>
        <w:rPr>
          <w:rFonts w:ascii="Cambria Math" w:cs="Cambria Math" w:eastAsia="Cambria Math" w:hAnsi="Cambria Math"/>
          <w:sz w:val="22"/>
          <w:szCs w:val="22"/>
          <w:vertAlign w:val="subscript"/>
        </w:rPr>
        <w:t xml:space="preserve">B</w:t>
      </w:r>
      <w:r>
        <w:rPr>
          <w:rFonts w:ascii="Cambria Math" w:cs="Cambria Math" w:eastAsia="Cambria Math" w:hAnsi="Cambria Math"/>
          <w:sz w:val="22"/>
          <w:szCs w:val="22"/>
        </w:rPr>
        <w:t xml:space="preserve">/P</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w:t>
      </w:r>
      <w:r>
        <w:rPr>
          <w:sz w:val="21"/>
          <w:szCs w:val="21"/>
        </w:rPr>
        <w:t xml:space="preserve">	(1)</w:t>
      </w:r>
    </w:p>
    <w:p>
      <w:pPr>
        <w:tabs>
          <w:tab w:val="center" w:pos="4819"/>
          <w:tab w:val="right" w:pos="9638"/>
        </w:tabs>
        <w:spacing w:after="120" w:before="60"/>
      </w:pPr>
      <w:r>
        <w:t xml:space="preserve">	</w:t>
      </w:r>
      <w:r>
        <w:rPr>
          <w:rFonts w:ascii="Cambria Math" w:cs="Cambria Math" w:eastAsia="Cambria Math" w:hAnsi="Cambria Math"/>
          <w:sz w:val="22"/>
          <w:szCs w:val="22"/>
        </w:rPr>
        <w:t xml:space="preserve">ΔH</w:t>
      </w:r>
      <w:r>
        <w:rPr>
          <w:rFonts w:ascii="Cambria Math" w:cs="Cambria Math" w:eastAsia="Cambria Math" w:hAnsi="Cambria Math"/>
          <w:sz w:val="22"/>
          <w:szCs w:val="22"/>
          <w:vertAlign w:val="subscript"/>
        </w:rPr>
        <w:t xml:space="preserve">AB</w:t>
      </w:r>
      <w:r>
        <w:rPr>
          <w:rFonts w:ascii="Cambria Math" w:cs="Cambria Math" w:eastAsia="Cambria Math" w:hAnsi="Cambria Math"/>
          <w:sz w:val="22"/>
          <w:szCs w:val="22"/>
        </w:rPr>
        <w:t xml:space="preserve"> = ⟨U⟩</w:t>
      </w:r>
      <w:r>
        <w:rPr>
          <w:rFonts w:ascii="Cambria Math" w:cs="Cambria Math" w:eastAsia="Cambria Math" w:hAnsi="Cambria Math"/>
          <w:sz w:val="22"/>
          <w:szCs w:val="22"/>
          <w:vertAlign w:val="subscript"/>
        </w:rPr>
        <w:t xml:space="preserve">B</w:t>
      </w:r>
      <w:r>
        <w:rPr>
          <w:rFonts w:ascii="Cambria Math" w:cs="Cambria Math" w:eastAsia="Cambria Math" w:hAnsi="Cambria Math"/>
          <w:sz w:val="22"/>
          <w:szCs w:val="22"/>
        </w:rPr>
        <w:t xml:space="preserve"> − ⟨U⟩</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−TΔS</w:t>
      </w:r>
      <w:r>
        <w:rPr>
          <w:rFonts w:ascii="Cambria Math" w:cs="Cambria Math" w:eastAsia="Cambria Math" w:hAnsi="Cambria Math"/>
          <w:sz w:val="22"/>
          <w:szCs w:val="22"/>
          <w:vertAlign w:val="subscript"/>
        </w:rPr>
        <w:t xml:space="preserve">AB</w:t>
      </w:r>
      <w:r>
        <w:rPr>
          <w:rFonts w:ascii="Cambria Math" w:cs="Cambria Math" w:eastAsia="Cambria Math" w:hAnsi="Cambria Math"/>
          <w:sz w:val="22"/>
          <w:szCs w:val="22"/>
        </w:rPr>
        <w:t xml:space="preserve"> = ΔG</w:t>
      </w:r>
      <w:r>
        <w:rPr>
          <w:rFonts w:ascii="Cambria Math" w:cs="Cambria Math" w:eastAsia="Cambria Math" w:hAnsi="Cambria Math"/>
          <w:sz w:val="22"/>
          <w:szCs w:val="22"/>
          <w:vertAlign w:val="subscript"/>
        </w:rPr>
        <w:t xml:space="preserve">AB</w:t>
      </w:r>
      <w:r>
        <w:rPr>
          <w:rFonts w:ascii="Cambria Math" w:cs="Cambria Math" w:eastAsia="Cambria Math" w:hAnsi="Cambria Math"/>
          <w:sz w:val="22"/>
          <w:szCs w:val="22"/>
        </w:rPr>
        <w:t xml:space="preserve"> − ΔH</w:t>
      </w:r>
      <w:r>
        <w:rPr>
          <w:rFonts w:ascii="Cambria Math" w:cs="Cambria Math" w:eastAsia="Cambria Math" w:hAnsi="Cambria Math"/>
          <w:sz w:val="22"/>
          <w:szCs w:val="22"/>
          <w:vertAlign w:val="subscript"/>
        </w:rPr>
        <w:t xml:space="preserve">AB</w:t>
      </w:r>
      <w:r>
        <w:rPr>
          <w:sz w:val="21"/>
          <w:szCs w:val="21"/>
        </w:rPr>
        <w:t xml:space="preserve">	(2)</w:t>
      </w:r>
    </w:p>
    <w:p>
      <w:pPr>
        <w:tabs>
          <w:tab w:val="center" w:pos="4819"/>
          <w:tab w:val="right" w:pos="9638"/>
        </w:tabs>
        <w:spacing w:after="120" w:before="60"/>
      </w:pPr>
      <w:r>
        <w:t xml:space="preserve">	</w:t>
      </w:r>
      <w:r>
        <w:rPr>
          <w:rFonts w:ascii="Cambria Math" w:cs="Cambria Math" w:eastAsia="Cambria Math" w:hAnsi="Cambria Math"/>
          <w:sz w:val="22"/>
          <w:szCs w:val="22"/>
        </w:rPr>
        <w:t xml:space="preserve">ΔH = ΔV</w:t>
      </w:r>
      <w:r>
        <w:rPr>
          <w:rFonts w:ascii="Cambria Math" w:cs="Cambria Math" w:eastAsia="Cambria Math" w:hAnsi="Cambria Math"/>
          <w:sz w:val="22"/>
          <w:szCs w:val="22"/>
          <w:vertAlign w:val="subscript"/>
        </w:rPr>
        <w:t xml:space="preserve">pep</w:t>
      </w:r>
      <w:r>
        <w:rPr>
          <w:rFonts w:ascii="Cambria Math" w:cs="Cambria Math" w:eastAsia="Cambria Math" w:hAnsi="Cambria Math"/>
          <w:sz w:val="22"/>
          <w:szCs w:val="22"/>
        </w:rPr>
        <w:t xml:space="preserve"> + ΔU</w:t>
      </w:r>
      <w:r>
        <w:rPr>
          <w:rFonts w:ascii="Cambria Math" w:cs="Cambria Math" w:eastAsia="Cambria Math" w:hAnsi="Cambria Math"/>
          <w:sz w:val="22"/>
          <w:szCs w:val="22"/>
          <w:vertAlign w:val="subscript"/>
        </w:rPr>
        <w:t xml:space="preserve">ee</w:t>
      </w:r>
      <w:r>
        <w:rPr>
          <w:rFonts w:ascii="Cambria Math" w:cs="Cambria Math" w:eastAsia="Cambria Math" w:hAnsi="Cambria Math"/>
          <w:sz w:val="22"/>
          <w:szCs w:val="22"/>
        </w:rPr>
        <w:t xml:space="preserve">   (exact, additive)</w:t>
      </w:r>
      <w:r>
        <w:rPr>
          <w:sz w:val="21"/>
          <w:szCs w:val="21"/>
        </w:rPr>
        <w:t xml:space="preserve">	(3)</w:t>
      </w:r>
    </w:p>
    <w:p>
      <w:pPr>
        <w:spacing w:after="120"/>
      </w:pPr>
      <w:r>
        <w:t xml:space="preserve">Kinetic energy cancels at fixed T. PΔV (1 bar × ~0.1 nm³ ≈ 6·10</w:t>
      </w:r>
      <w:r>
        <w:rPr>
          <w:vertAlign w:val="superscript"/>
        </w:rPr>
        <w:t xml:space="preserve">−3</w:t>
      </w:r>
      <w:r>
        <w:t xml:space="preserve"> J/mol) is neglected and flagged </w:t>
      </w:r>
      <w:r>
        <w:rPr>
          <w:rFonts w:ascii="Consolas" w:cs="Consolas" w:eastAsia="Consolas" w:hAnsi="Consolas"/>
          <w:sz w:val="19"/>
          <w:szCs w:val="19"/>
        </w:rPr>
        <w:t xml:space="preserve">pdV_neglected</w:t>
      </w:r>
      <w:r>
        <w:t xml:space="preserve">. On adaptive campaigns the headline CV1 PMF excludes epoch_000, but this stage does not, because the global weights are exact for every epoch on ladder and unboosted runs. ΔG here can therefore differ slightly from a ΔG read off the headline PMF.</w:t>
      </w:r>
    </w:p>
    <w:p>
      <w:pPr>
        <w:pStyle w:val="Heading2"/>
      </w:pPr>
      <w:r>
        <w:t xml:space="preserve">2.3 Solvent-reorganization identity and −TΔS′</w:t>
      </w:r>
    </w:p>
    <w:p>
      <w:pPr>
        <w:spacing w:after="120"/>
      </w:pPr>
      <w:r>
        <w:t xml:space="preserve">At fixed solute configuration, the solvent–solvent reorganization energy enters the solvation enthalpy and T times the solvation entropy identically, and so cancels in ΔG (Yu &amp; Karplus 1988; Ben-Naim; Lazaridis). Therefore ΔU</w:t>
      </w:r>
      <w:r>
        <w:rPr>
          <w:vertAlign w:val="subscript"/>
        </w:rPr>
        <w:t xml:space="preserve">ee</w:t>
      </w:r>
      <w:r>
        <w:t xml:space="preserve"> = TΔS</w:t>
      </w:r>
      <w:r>
        <w:rPr>
          <w:vertAlign w:val="subscript"/>
        </w:rPr>
        <w:t xml:space="preserve">reorg</w:t>
      </w:r>
      <w:r>
        <w:t xml:space="preserve">, and:</w:t>
      </w:r>
    </w:p>
    <w:p>
      <w:pPr>
        <w:tabs>
          <w:tab w:val="center" w:pos="4819"/>
          <w:tab w:val="right" w:pos="9638"/>
        </w:tabs>
        <w:spacing w:after="120" w:before="60"/>
      </w:pPr>
      <w:r>
        <w:t xml:space="preserve">	</w:t>
      </w:r>
      <w:r>
        <w:rPr>
          <w:rFonts w:ascii="Cambria Math" w:cs="Cambria Math" w:eastAsia="Cambria Math" w:hAnsi="Cambria Math"/>
          <w:sz w:val="22"/>
          <w:szCs w:val="22"/>
        </w:rPr>
        <w:t xml:space="preserve">ΔG = ΔV</w:t>
      </w:r>
      <w:r>
        <w:rPr>
          <w:rFonts w:ascii="Cambria Math" w:cs="Cambria Math" w:eastAsia="Cambria Math" w:hAnsi="Cambria Math"/>
          <w:sz w:val="22"/>
          <w:szCs w:val="22"/>
          <w:vertAlign w:val="subscript"/>
        </w:rPr>
        <w:t xml:space="preserve">pep</w:t>
      </w:r>
      <w:r>
        <w:rPr>
          <w:rFonts w:ascii="Cambria Math" w:cs="Cambria Math" w:eastAsia="Cambria Math" w:hAnsi="Cambria Math"/>
          <w:sz w:val="22"/>
          <w:szCs w:val="22"/>
        </w:rPr>
        <w:t xml:space="preserve"> − TΔS′,    −TΔS′ ≡ ΔG − ΔV</w:t>
      </w:r>
      <w:r>
        <w:rPr>
          <w:rFonts w:ascii="Cambria Math" w:cs="Cambria Math" w:eastAsia="Cambria Math" w:hAnsi="Cambria Math"/>
          <w:sz w:val="22"/>
          <w:szCs w:val="22"/>
          <w:vertAlign w:val="subscript"/>
        </w:rPr>
        <w:t xml:space="preserve">pep</w:t>
      </w:r>
      <w:r>
        <w:rPr>
          <w:rFonts w:ascii="Cambria Math" w:cs="Cambria Math" w:eastAsia="Cambria Math" w:hAnsi="Cambria Math"/>
          <w:sz w:val="22"/>
          <w:szCs w:val="22"/>
        </w:rPr>
        <w:t xml:space="preserve"> = −TΔS + ΔU</w:t>
      </w:r>
      <w:r>
        <w:rPr>
          <w:rFonts w:ascii="Cambria Math" w:cs="Cambria Math" w:eastAsia="Cambria Math" w:hAnsi="Cambria Math"/>
          <w:sz w:val="22"/>
          <w:szCs w:val="22"/>
          <w:vertAlign w:val="subscript"/>
        </w:rPr>
        <w:t xml:space="preserve">ee</w:t>
      </w:r>
      <w:r>
        <w:rPr>
          <w:sz w:val="21"/>
          <w:szCs w:val="21"/>
        </w:rPr>
        <w:t xml:space="preserve">	(4)</w:t>
      </w:r>
    </w:p>
    <w:p>
      <w:pPr>
        <w:spacing w:after="120"/>
      </w:pPr>
      <w:r>
        <w:t xml:space="preserve">−TΔS′ is </w:t>
      </w:r>
      <w:r>
        <w:rPr>
          <w:b/>
          <w:bCs/>
        </w:rPr>
        <w:t xml:space="preserve">derived from the identity, not measured</w:t>
      </w:r>
      <w:r>
        <w:t xml:space="preserve">. It contains the peptide conformational entropy plus the part of the solvation entropy that ΔU</w:t>
      </w:r>
      <w:r>
        <w:rPr>
          <w:vertAlign w:val="subscript"/>
        </w:rPr>
        <w:t xml:space="preserve">ee</w:t>
      </w:r>
      <w:r>
        <w:t xml:space="preserve"> does not compensate. The identity is exact in NVT; NPT adds PΔV, which is negligible here.</w:t>
      </w:r>
    </w:p>
    <w:p>
      <w:pPr>
        <w:pStyle w:val="Heading2"/>
      </w:pPr>
      <w:r>
        <w:t xml:space="preserve">2.4 Exact pp/pe split by bilinearity of PME</w:t>
      </w:r>
    </w:p>
    <w:p>
      <w:pPr>
        <w:spacing w:after="120"/>
      </w:pPr>
      <w:r>
        <w:t xml:space="preserve">The Ewald/PME electrostatic energy is a quadratic form in the charges, E = ½ q</w:t>
      </w:r>
      <w:r>
        <w:rPr>
          <w:vertAlign w:val="superscript"/>
        </w:rPr>
        <w:t xml:space="preserve">T</w:t>
      </w:r>
      <w:r>
        <w:t xml:space="preserve">Aq. For one α and one mesh, q = q</w:t>
      </w:r>
      <w:r>
        <w:rPr>
          <w:vertAlign w:val="subscript"/>
        </w:rPr>
        <w:t xml:space="preserve">pep</w:t>
      </w:r>
      <w:r>
        <w:t xml:space="preserve"> + q</w:t>
      </w:r>
      <w:r>
        <w:rPr>
          <w:vertAlign w:val="subscript"/>
        </w:rPr>
        <w:t xml:space="preserve">env</w:t>
      </w:r>
      <w:r>
        <w:t xml:space="preserve"> therefore splits it exactly into pp + pe + ee. LJ with geometric-mean ε pairs splits the same way. A System holding only the peptide atoms, in the frame's box, with α and grid pinned to the physical force and the dispersion correction off, gives</w:t>
      </w:r>
    </w:p>
    <w:p>
      <w:pPr>
        <w:tabs>
          <w:tab w:val="center" w:pos="4819"/>
          <w:tab w:val="right" w:pos="9638"/>
        </w:tabs>
        <w:spacing w:after="120" w:before="60"/>
      </w:pPr>
      <w:r>
        <w:t xml:space="preserve">	</w:t>
      </w:r>
      <w:r>
        <w:rPr>
          <w:rFonts w:ascii="Cambria Math" w:cs="Cambria Math" w:eastAsia="Cambria Math" w:hAnsi="Cambria Math"/>
          <w:sz w:val="22"/>
          <w:szCs w:val="22"/>
        </w:rPr>
        <w:t xml:space="preserve">V</w:t>
      </w:r>
      <w:r>
        <w:rPr>
          <w:rFonts w:ascii="Cambria Math" w:cs="Cambria Math" w:eastAsia="Cambria Math" w:hAnsi="Cambria Math"/>
          <w:sz w:val="22"/>
          <w:szCs w:val="22"/>
          <w:vertAlign w:val="subscript"/>
        </w:rPr>
        <w:t xml:space="preserve">pp</w:t>
      </w:r>
      <w:r>
        <w:rPr>
          <w:rFonts w:ascii="Cambria Math" w:cs="Cambria Math" w:eastAsia="Cambria Math" w:hAnsi="Cambria Math"/>
          <w:sz w:val="22"/>
          <w:szCs w:val="22"/>
        </w:rPr>
        <w:t xml:space="preserve"> = NB</w:t>
      </w:r>
      <w:r>
        <w:rPr>
          <w:rFonts w:ascii="Cambria Math" w:cs="Cambria Math" w:eastAsia="Cambria Math" w:hAnsi="Cambria Math"/>
          <w:sz w:val="22"/>
          <w:szCs w:val="22"/>
          <w:vertAlign w:val="subscript"/>
        </w:rPr>
        <w:t xml:space="preserve">pp</w:t>
      </w:r>
      <w:r>
        <w:rPr>
          <w:rFonts w:ascii="Cambria Math" w:cs="Cambria Math" w:eastAsia="Cambria Math" w:hAnsi="Cambria Math"/>
          <w:sz w:val="22"/>
          <w:szCs w:val="22"/>
        </w:rPr>
        <w:t xml:space="preserve"> + bonded</w:t>
      </w:r>
      <w:r>
        <w:rPr>
          <w:rFonts w:ascii="Cambria Math" w:cs="Cambria Math" w:eastAsia="Cambria Math" w:hAnsi="Cambria Math"/>
          <w:sz w:val="22"/>
          <w:szCs w:val="22"/>
          <w:vertAlign w:val="subscript"/>
        </w:rPr>
        <w:t xml:space="preserve">pep</w:t>
      </w:r>
      <w:r>
        <w:rPr>
          <w:rFonts w:ascii="Cambria Math" w:cs="Cambria Math" w:eastAsia="Cambria Math" w:hAnsi="Cambria Math"/>
          <w:sz w:val="22"/>
          <w:szCs w:val="22"/>
        </w:rPr>
        <w:t xml:space="preserve"> + E</w:t>
      </w:r>
      <w:r>
        <w:rPr>
          <w:rFonts w:ascii="Cambria Math" w:cs="Cambria Math" w:eastAsia="Cambria Math" w:hAnsi="Cambria Math"/>
          <w:sz w:val="22"/>
          <w:szCs w:val="22"/>
          <w:vertAlign w:val="subscript"/>
        </w:rPr>
        <w:t xml:space="preserve">dih</w:t>
      </w:r>
      <w:r>
        <w:rPr>
          <w:rFonts w:ascii="Cambria Math" w:cs="Cambria Math" w:eastAsia="Cambria Math" w:hAnsi="Cambria Math"/>
          <w:sz w:val="22"/>
          <w:szCs w:val="22"/>
        </w:rPr>
        <w:t xml:space="preserve">,    V</w:t>
      </w:r>
      <w:r>
        <w:rPr>
          <w:rFonts w:ascii="Cambria Math" w:cs="Cambria Math" w:eastAsia="Cambria Math" w:hAnsi="Cambria Math"/>
          <w:sz w:val="22"/>
          <w:szCs w:val="22"/>
          <w:vertAlign w:val="subscript"/>
        </w:rPr>
        <w:t xml:space="preserve">pe</w:t>
      </w:r>
      <w:r>
        <w:rPr>
          <w:rFonts w:ascii="Cambria Math" w:cs="Cambria Math" w:eastAsia="Cambria Math" w:hAnsi="Cambria Math"/>
          <w:sz w:val="22"/>
          <w:szCs w:val="22"/>
        </w:rPr>
        <w:t xml:space="preserve"> = V</w:t>
      </w:r>
      <w:r>
        <w:rPr>
          <w:rFonts w:ascii="Cambria Math" w:cs="Cambria Math" w:eastAsia="Cambria Math" w:hAnsi="Cambria Math"/>
          <w:sz w:val="22"/>
          <w:szCs w:val="22"/>
          <w:vertAlign w:val="subscript"/>
        </w:rPr>
        <w:t xml:space="preserve">pep</w:t>
      </w:r>
      <w:r>
        <w:rPr>
          <w:rFonts w:ascii="Cambria Math" w:cs="Cambria Math" w:eastAsia="Cambria Math" w:hAnsi="Cambria Math"/>
          <w:sz w:val="22"/>
          <w:szCs w:val="22"/>
        </w:rPr>
        <w:t xml:space="preserve"> − V</w:t>
      </w:r>
      <w:r>
        <w:rPr>
          <w:rFonts w:ascii="Cambria Math" w:cs="Cambria Math" w:eastAsia="Cambria Math" w:hAnsi="Cambria Math"/>
          <w:sz w:val="22"/>
          <w:szCs w:val="22"/>
          <w:vertAlign w:val="subscript"/>
        </w:rPr>
        <w:t xml:space="preserve">pp</w:t>
      </w:r>
      <w:r>
        <w:rPr>
          <w:sz w:val="21"/>
          <w:szCs w:val="21"/>
        </w:rPr>
        <w:t xml:space="preserve">	(5)</w:t>
      </w:r>
    </w:p>
    <w:p>
      <w:pPr>
        <w:spacing w:after="120"/>
      </w:pPr>
      <w:r>
        <w:t xml:space="preserve">By convention the dispersion-correction difference stays in V</w:t>
      </w:r>
      <w:r>
        <w:rPr>
          <w:vertAlign w:val="subscript"/>
        </w:rPr>
        <w:t xml:space="preserve">pe</w:t>
      </w:r>
      <w:r>
        <w:t xml:space="preserve">. Only peptide coordinates and the per-frame box are needed, which is exactly what a solute-only XTC holds. Any physical term that couples peptide and non-peptide atoms, any </w:t>
      </w:r>
      <w:r>
        <w:rPr>
          <w:rFonts w:ascii="Consolas" w:cs="Consolas" w:eastAsia="Consolas" w:hAnsi="Consolas"/>
          <w:sz w:val="19"/>
          <w:szCs w:val="19"/>
        </w:rPr>
        <w:t xml:space="preserve">NonbondedForce</w:t>
      </w:r>
      <w:r>
        <w:t xml:space="preserve"> parameter offset, and any unknown physical force are refused.</w:t>
      </w:r>
    </w:p>
    <w:p>
      <w:pPr>
        <w:pStyle w:val="Heading2"/>
      </w:pPr>
      <w:r>
        <w:t xml:space="preserve">2.5 Configurational entropy (MIE) and solvent entropy by difference</w:t>
      </w:r>
    </w:p>
    <w:p>
      <w:pPr>
        <w:spacing w:after="120"/>
      </w:pPr>
      <w:r>
        <w:t xml:space="preserve">For backbone torsions θ</w:t>
      </w:r>
      <w:r>
        <w:rPr>
          <w:vertAlign w:val="subscript"/>
        </w:rPr>
        <w:t xml:space="preserve">1</w:t>
      </w:r>
      <w:r>
        <w:t xml:space="preserve">…θ</w:t>
      </w:r>
      <w:r>
        <w:rPr>
          <w:vertAlign w:val="subscript"/>
        </w:rPr>
        <w:t xml:space="preserve">M</w:t>
      </w:r>
      <w:r>
        <w:t xml:space="preserve"> (φ/ψ from the rebuilt topology; M = 18 for chignolin), weighted histograms with the same bins in both basins give</w:t>
      </w:r>
    </w:p>
    <w:p>
      <w:pPr>
        <w:tabs>
          <w:tab w:val="center" w:pos="4819"/>
          <w:tab w:val="right" w:pos="9638"/>
        </w:tabs>
        <w:spacing w:after="120" w:before="60"/>
      </w:pPr>
      <w:r>
        <w:t xml:space="preserve">	</w:t>
      </w:r>
      <w:r>
        <w:rPr>
          <w:rFonts w:ascii="Cambria Math" w:cs="Cambria Math" w:eastAsia="Cambria Math" w:hAnsi="Cambria Math"/>
          <w:sz w:val="22"/>
          <w:szCs w:val="22"/>
        </w:rPr>
        <w:t xml:space="preserve">S</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rPr>
        <w:t xml:space="preserve">/k = Σ</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H</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H</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−Σ</w:t>
      </w:r>
      <w:r>
        <w:rPr>
          <w:rFonts w:ascii="Cambria Math" w:cs="Cambria Math" w:eastAsia="Cambria Math" w:hAnsi="Cambria Math"/>
          <w:sz w:val="22"/>
          <w:szCs w:val="22"/>
          <w:vertAlign w:val="subscript"/>
        </w:rPr>
        <w:t xml:space="preserve">b</w:t>
      </w:r>
      <w:r>
        <w:rPr>
          <w:rFonts w:ascii="Cambria Math" w:cs="Cambria Math" w:eastAsia="Cambria Math" w:hAnsi="Cambria Math"/>
          <w:sz w:val="22"/>
          <w:szCs w:val="22"/>
        </w:rPr>
        <w:t xml:space="preserve"> p</w:t>
      </w:r>
      <w:r>
        <w:rPr>
          <w:rFonts w:ascii="Cambria Math" w:cs="Cambria Math" w:eastAsia="Cambria Math" w:hAnsi="Cambria Math"/>
          <w:sz w:val="22"/>
          <w:szCs w:val="22"/>
          <w:vertAlign w:val="subscript"/>
        </w:rPr>
        <w:t xml:space="preserve">b</w:t>
      </w:r>
      <w:r>
        <w:rPr>
          <w:rFonts w:ascii="Cambria Math" w:cs="Cambria Math" w:eastAsia="Cambria Math" w:hAnsi="Cambria Math"/>
          <w:sz w:val="22"/>
          <w:szCs w:val="22"/>
        </w:rPr>
        <w:t xml:space="preserve"> ln p</w:t>
      </w:r>
      <w:r>
        <w:rPr>
          <w:rFonts w:ascii="Cambria Math" w:cs="Cambria Math" w:eastAsia="Cambria Math" w:hAnsi="Cambria Math"/>
          <w:sz w:val="22"/>
          <w:szCs w:val="22"/>
          <w:vertAlign w:val="subscript"/>
        </w:rPr>
        <w:t xml:space="preserve">b</w:t>
      </w:r>
      <w:r>
        <w:rPr>
          <w:sz w:val="21"/>
          <w:szCs w:val="21"/>
        </w:rPr>
        <w:t xml:space="preserve">	(6)</w:t>
      </w:r>
    </w:p>
    <w:p>
      <w:pPr>
        <w:tabs>
          <w:tab w:val="center" w:pos="4819"/>
          <w:tab w:val="right" w:pos="9638"/>
        </w:tabs>
        <w:spacing w:after="120" w:before="60"/>
      </w:pPr>
      <w:r>
        <w:t xml:space="preserve">	</w:t>
      </w:r>
      <w:r>
        <w:rPr>
          <w:rFonts w:ascii="Cambria Math" w:cs="Cambria Math" w:eastAsia="Cambria Math" w:hAnsi="Cambria Math"/>
          <w:sz w:val="22"/>
          <w:szCs w:val="22"/>
        </w:rPr>
        <w:t xml:space="preserve">S</w:t>
      </w:r>
      <w:r>
        <w:rPr>
          <w:rFonts w:ascii="Cambria Math" w:cs="Cambria Math" w:eastAsia="Cambria Math" w:hAnsi="Cambria Math"/>
          <w:sz w:val="22"/>
          <w:szCs w:val="22"/>
          <w:vertAlign w:val="subscript"/>
        </w:rPr>
        <w:t xml:space="preserve">2</w:t>
      </w:r>
      <w:r>
        <w:rPr>
          <w:rFonts w:ascii="Cambria Math" w:cs="Cambria Math" w:eastAsia="Cambria Math" w:hAnsi="Cambria Math"/>
          <w:sz w:val="22"/>
          <w:szCs w:val="22"/>
        </w:rPr>
        <w:t xml:space="preserve">/k = S</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rPr>
        <w:t xml:space="preserve">/k − Σ</w:t>
      </w:r>
      <w:r>
        <w:rPr>
          <w:rFonts w:ascii="Cambria Math" w:cs="Cambria Math" w:eastAsia="Cambria Math" w:hAnsi="Cambria Math"/>
          <w:sz w:val="22"/>
          <w:szCs w:val="22"/>
          <w:vertAlign w:val="subscript"/>
        </w:rPr>
        <w:t xml:space="preserve">i&lt;j</w:t>
      </w:r>
      <w:r>
        <w:rPr>
          <w:rFonts w:ascii="Cambria Math" w:cs="Cambria Math" w:eastAsia="Cambria Math" w:hAnsi="Cambria Math"/>
          <w:sz w:val="22"/>
          <w:szCs w:val="22"/>
        </w:rPr>
        <w:t xml:space="preserve"> I</w:t>
      </w:r>
      <w:r>
        <w:rPr>
          <w:rFonts w:ascii="Cambria Math" w:cs="Cambria Math" w:eastAsia="Cambria Math" w:hAnsi="Cambria Math"/>
          <w:sz w:val="22"/>
          <w:szCs w:val="22"/>
          <w:vertAlign w:val="subscript"/>
        </w:rPr>
        <w:t xml:space="preserve">ij</w:t>
      </w:r>
      <w:r>
        <w:rPr>
          <w:rFonts w:ascii="Cambria Math" w:cs="Cambria Math" w:eastAsia="Cambria Math" w:hAnsi="Cambria Math"/>
          <w:sz w:val="22"/>
          <w:szCs w:val="22"/>
        </w:rPr>
        <w:t xml:space="preserve">,   I</w:t>
      </w:r>
      <w:r>
        <w:rPr>
          <w:rFonts w:ascii="Cambria Math" w:cs="Cambria Math" w:eastAsia="Cambria Math" w:hAnsi="Cambria Math"/>
          <w:sz w:val="22"/>
          <w:szCs w:val="22"/>
          <w:vertAlign w:val="subscript"/>
        </w:rPr>
        <w:t xml:space="preserve">ij</w:t>
      </w:r>
      <w:r>
        <w:rPr>
          <w:rFonts w:ascii="Cambria Math" w:cs="Cambria Math" w:eastAsia="Cambria Math" w:hAnsi="Cambria Math"/>
          <w:sz w:val="22"/>
          <w:szCs w:val="22"/>
        </w:rPr>
        <w:t xml:space="preserve"> = H</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H</w:t>
      </w:r>
      <w:r>
        <w:rPr>
          <w:rFonts w:ascii="Cambria Math" w:cs="Cambria Math" w:eastAsia="Cambria Math" w:hAnsi="Cambria Math"/>
          <w:sz w:val="22"/>
          <w:szCs w:val="22"/>
          <w:vertAlign w:val="subscript"/>
        </w:rPr>
        <w:t xml:space="preserve">j</w:t>
      </w:r>
      <w:r>
        <w:rPr>
          <w:rFonts w:ascii="Cambria Math" w:cs="Cambria Math" w:eastAsia="Cambria Math" w:hAnsi="Cambria Math"/>
          <w:sz w:val="22"/>
          <w:szCs w:val="22"/>
        </w:rPr>
        <w:t xml:space="preserve"> − H</w:t>
      </w:r>
      <w:r>
        <w:rPr>
          <w:rFonts w:ascii="Cambria Math" w:cs="Cambria Math" w:eastAsia="Cambria Math" w:hAnsi="Cambria Math"/>
          <w:sz w:val="22"/>
          <w:szCs w:val="22"/>
          <w:vertAlign w:val="subscript"/>
        </w:rPr>
        <w:t xml:space="preserve">ij</w:t>
      </w:r>
      <w:r>
        <w:rPr>
          <w:sz w:val="21"/>
          <w:szCs w:val="21"/>
        </w:rPr>
        <w:t xml:space="preserve">	(7)</w:t>
      </w:r>
    </w:p>
    <w:p>
      <w:pPr>
        <w:tabs>
          <w:tab w:val="center" w:pos="4819"/>
          <w:tab w:val="right" w:pos="9638"/>
        </w:tabs>
        <w:spacing w:after="120" w:before="60"/>
      </w:pPr>
      <w:r>
        <w:t xml:space="preserve">	</w:t>
      </w:r>
      <w:r>
        <w:rPr>
          <w:rFonts w:ascii="Cambria Math" w:cs="Cambria Math" w:eastAsia="Cambria Math" w:hAnsi="Cambria Math"/>
          <w:sz w:val="22"/>
          <w:szCs w:val="22"/>
        </w:rPr>
        <w:t xml:space="preserve">TΔS</w:t>
      </w:r>
      <w:r>
        <w:rPr>
          <w:rFonts w:ascii="Cambria Math" w:cs="Cambria Math" w:eastAsia="Cambria Math" w:hAnsi="Cambria Math"/>
          <w:sz w:val="22"/>
          <w:szCs w:val="22"/>
          <w:vertAlign w:val="subscript"/>
        </w:rPr>
        <w:t xml:space="preserve">conf</w:t>
      </w:r>
      <w:r>
        <w:rPr>
          <w:rFonts w:ascii="Cambria Math" w:cs="Cambria Math" w:eastAsia="Cambria Math" w:hAnsi="Cambria Math"/>
          <w:sz w:val="22"/>
          <w:szCs w:val="22"/>
        </w:rPr>
        <w:t xml:space="preserve"> = kT·Δ(S</w:t>
      </w:r>
      <w:r>
        <w:rPr>
          <w:rFonts w:ascii="Cambria Math" w:cs="Cambria Math" w:eastAsia="Cambria Math" w:hAnsi="Cambria Math"/>
          <w:sz w:val="22"/>
          <w:szCs w:val="22"/>
          <w:vertAlign w:val="subscript"/>
        </w:rPr>
        <w:t xml:space="preserve">2</w:t>
      </w:r>
      <w:r>
        <w:rPr>
          <w:rFonts w:ascii="Cambria Math" w:cs="Cambria Math" w:eastAsia="Cambria Math" w:hAnsi="Cambria Math"/>
          <w:sz w:val="22"/>
          <w:szCs w:val="22"/>
        </w:rPr>
        <w:t xml:space="preserve">/k),   −TΔS</w:t>
      </w:r>
      <w:r>
        <w:rPr>
          <w:rFonts w:ascii="Cambria Math" w:cs="Cambria Math" w:eastAsia="Cambria Math" w:hAnsi="Cambria Math"/>
          <w:sz w:val="22"/>
          <w:szCs w:val="22"/>
          <w:vertAlign w:val="subscript"/>
        </w:rPr>
        <w:t xml:space="preserve">solv</w:t>
      </w:r>
      <w:r>
        <w:rPr>
          <w:rFonts w:ascii="Cambria Math" w:cs="Cambria Math" w:eastAsia="Cambria Math" w:hAnsi="Cambria Math"/>
          <w:sz w:val="22"/>
          <w:szCs w:val="22"/>
        </w:rPr>
        <w:t xml:space="preserve"> = −TΔS + TΔS</w:t>
      </w:r>
      <w:r>
        <w:rPr>
          <w:rFonts w:ascii="Cambria Math" w:cs="Cambria Math" w:eastAsia="Cambria Math" w:hAnsi="Cambria Math"/>
          <w:sz w:val="22"/>
          <w:szCs w:val="22"/>
          <w:vertAlign w:val="subscript"/>
        </w:rPr>
        <w:t xml:space="preserve">conf</w:t>
      </w:r>
      <w:r>
        <w:rPr>
          <w:rFonts w:ascii="Cambria Math" w:cs="Cambria Math" w:eastAsia="Cambria Math" w:hAnsi="Cambria Math"/>
          <w:sz w:val="22"/>
          <w:szCs w:val="22"/>
        </w:rPr>
        <w:t xml:space="preserve">,   −TΔS′</w:t>
      </w:r>
      <w:r>
        <w:rPr>
          <w:rFonts w:ascii="Cambria Math" w:cs="Cambria Math" w:eastAsia="Cambria Math" w:hAnsi="Cambria Math"/>
          <w:sz w:val="22"/>
          <w:szCs w:val="22"/>
          <w:vertAlign w:val="subscript"/>
        </w:rPr>
        <w:t xml:space="preserve">solv</w:t>
      </w:r>
      <w:r>
        <w:rPr>
          <w:rFonts w:ascii="Cambria Math" w:cs="Cambria Math" w:eastAsia="Cambria Math" w:hAnsi="Cambria Math"/>
          <w:sz w:val="22"/>
          <w:szCs w:val="22"/>
        </w:rPr>
        <w:t xml:space="preserve"> = −TΔS′ + TΔS</w:t>
      </w:r>
      <w:r>
        <w:rPr>
          <w:rFonts w:ascii="Cambria Math" w:cs="Cambria Math" w:eastAsia="Cambria Math" w:hAnsi="Cambria Math"/>
          <w:sz w:val="22"/>
          <w:szCs w:val="22"/>
          <w:vertAlign w:val="subscript"/>
        </w:rPr>
        <w:t xml:space="preserve">conf</w:t>
      </w:r>
      <w:r>
        <w:rPr>
          <w:sz w:val="21"/>
          <w:szCs w:val="21"/>
        </w:rPr>
        <w:t xml:space="preserve">	(8)</w:t>
      </w:r>
    </w:p>
    <w:p>
      <w:pPr>
        <w:spacing w:after="120"/>
      </w:pPr>
      <w:r>
        <w:t xml:space="preserve">The bin-width constant of a differential entropy cancels in the basin difference and is omitted. "Solvent" entropy here means every entropy not captured by backbone torsions: solvent, side-chain torsions, bond/angle vibrations and MI orders above two. −TΔS′</w:t>
      </w:r>
      <w:r>
        <w:rPr>
          <w:vertAlign w:val="subscript"/>
        </w:rPr>
        <w:t xml:space="preserve">solv</w:t>
      </w:r>
      <w:r>
        <w:t xml:space="preserve"> is the part of the solvation entropy that ΔU</w:t>
      </w:r>
      <w:r>
        <w:rPr>
          <w:vertAlign w:val="subscript"/>
        </w:rPr>
        <w:t xml:space="preserve">ee</w:t>
      </w:r>
      <w:r>
        <w:t xml:space="preserve"> does not compensate.</w:t>
      </w:r>
    </w:p>
    <w:p>
      <w:pPr>
        <w:pStyle w:val="Heading1"/>
      </w:pPr>
      <w:r>
        <w:t xml:space="preserve">3. Implementation and data flow</w:t>
      </w:r>
    </w:p>
    <w:p>
      <w:pPr>
        <w:pStyle w:val="Heading2"/>
      </w:pPr>
      <w:r>
        <w:t xml:space="preserve">3.1 Modules</w:t>
      </w:r>
    </w:p>
    <w:p>
      <w:pPr>
        <w:pStyle w:val="ListParagraph"/>
        <w:numPr>
          <w:ilvl w:val="0"/>
          <w:numId w:val="2"/>
        </w:numPr>
        <w:spacing w:after="60"/>
      </w:pPr>
      <w:r>
        <w:rPr>
          <w:rFonts w:ascii="Consolas" w:cs="Consolas" w:eastAsia="Consolas" w:hAnsi="Consolas"/>
          <w:sz w:val="19"/>
          <w:szCs w:val="19"/>
        </w:rPr>
        <w:t xml:space="preserve">gareus/mbar_analysis/thermo.py</w:t>
      </w:r>
      <w:r>
        <w:t xml:space="preserve"> (569 lines, pure numpy): boost-type resolution from </w:t>
      </w:r>
      <w:r>
        <w:rPr>
          <w:rFonts w:ascii="Consolas" w:cs="Consolas" w:eastAsia="Consolas" w:hAnsi="Consolas"/>
          <w:sz w:val="19"/>
          <w:szCs w:val="19"/>
        </w:rPr>
        <w:t xml:space="preserve">run_manifest.json</w:t>
      </w:r>
      <w:r>
        <w:t xml:space="preserve">, </w:t>
      </w:r>
      <w:r>
        <w:rPr>
          <w:rFonts w:ascii="Consolas" w:cs="Consolas" w:eastAsia="Consolas" w:hAnsi="Consolas"/>
          <w:sz w:val="19"/>
          <w:szCs w:val="19"/>
        </w:rPr>
        <w:t xml:space="preserve">own_state_umbrella_kj</w:t>
      </w:r>
      <w:r>
        <w:t xml:space="preserve">, weight policy, basin parsing and </w:t>
      </w:r>
      <w:r>
        <w:rPr>
          <w:rFonts w:ascii="Consolas" w:cs="Consolas" w:eastAsia="Consolas" w:hAnsi="Consolas"/>
          <w:sz w:val="19"/>
          <w:szCs w:val="19"/>
        </w:rPr>
        <w:t xml:space="preserve">auto</w:t>
      </w:r>
      <w:r>
        <w:t xml:space="preserve"> split, </w:t>
      </w:r>
      <w:r>
        <w:rPr>
          <w:rFonts w:ascii="Consolas" w:cs="Consolas" w:eastAsia="Consolas" w:hAnsi="Consolas"/>
          <w:sz w:val="19"/>
          <w:szCs w:val="19"/>
        </w:rPr>
        <w:t xml:space="preserve">compute_thermo</w:t>
      </w:r>
      <w:r>
        <w:t xml:space="preserve"> (estimator, bootstrap, profiles), stage driver </w:t>
      </w:r>
      <w:r>
        <w:rPr>
          <w:rFonts w:ascii="Consolas" w:cs="Consolas" w:eastAsia="Consolas" w:hAnsi="Consolas"/>
          <w:sz w:val="19"/>
          <w:szCs w:val="19"/>
        </w:rPr>
        <w:t xml:space="preserve">analyze_thermo_decomposition</w:t>
      </w:r>
      <w:r>
        <w:t xml:space="preserve"> and </w:t>
      </w:r>
      <w:r>
        <w:rPr>
          <w:rFonts w:ascii="Consolas" w:cs="Consolas" w:eastAsia="Consolas" w:hAnsi="Consolas"/>
          <w:sz w:val="19"/>
          <w:szCs w:val="19"/>
        </w:rPr>
        <w:t xml:space="preserve">_frame_decomposition</w:t>
      </w:r>
      <w:r>
        <w:t xml:space="preserve">. Imports only </w:t>
      </w:r>
      <w:r>
        <w:rPr>
          <w:rFonts w:ascii="Consolas" w:cs="Consolas" w:eastAsia="Consolas" w:hAnsi="Consolas"/>
          <w:sz w:val="19"/>
          <w:szCs w:val="19"/>
        </w:rPr>
        <w:t xml:space="preserve">gareus.*</w:t>
      </w:r>
      <w:r>
        <w:t xml:space="preserve"> and never the analyzer script, which avoids the second-script-copy problem.</w:t>
      </w:r>
    </w:p>
    <w:p>
      <w:pPr>
        <w:pStyle w:val="ListParagraph"/>
        <w:numPr>
          <w:ilvl w:val="0"/>
          <w:numId w:val="2"/>
        </w:numPr>
        <w:spacing w:after="60"/>
      </w:pPr>
      <w:r>
        <w:rPr>
          <w:rFonts w:ascii="Consolas" w:cs="Consolas" w:eastAsia="Consolas" w:hAnsi="Consolas"/>
          <w:sz w:val="19"/>
          <w:szCs w:val="19"/>
        </w:rPr>
        <w:t xml:space="preserve">gareus/mbar_analysis/thermo_frames.py</w:t>
      </w:r>
      <w:r>
        <w:t xml:space="preserve"> (377 lines, OpenMM + mdtraj): </w:t>
      </w:r>
      <w:r>
        <w:rPr>
          <w:rFonts w:ascii="Consolas" w:cs="Consolas" w:eastAsia="Consolas" w:hAnsi="Consolas"/>
          <w:sz w:val="19"/>
          <w:szCs w:val="19"/>
        </w:rPr>
        <w:t xml:space="preserve">rebuild_physical_system</w:t>
      </w:r>
      <w:r>
        <w:t xml:space="preserve"> (production's </w:t>
      </w:r>
      <w:r>
        <w:rPr>
          <w:rFonts w:ascii="Consolas" w:cs="Consolas" w:eastAsia="Consolas" w:hAnsi="Consolas"/>
          <w:sz w:val="19"/>
          <w:szCs w:val="19"/>
        </w:rPr>
        <w:t xml:space="preserve">create_system</w:t>
      </w:r>
      <w:r>
        <w:t xml:space="preserve"> from </w:t>
      </w:r>
      <w:r>
        <w:rPr>
          <w:rFonts w:ascii="Consolas" w:cs="Consolas" w:eastAsia="Consolas" w:hAnsi="Consolas"/>
          <w:sz w:val="19"/>
          <w:szCs w:val="19"/>
        </w:rPr>
        <w:t xml:space="preserve">run_args.json</w:t>
      </w:r>
      <w:r>
        <w:t xml:space="preserve"> + </w:t>
      </w:r>
      <w:r>
        <w:rPr>
          <w:rFonts w:ascii="Consolas" w:cs="Consolas" w:eastAsia="Consolas" w:hAnsi="Consolas"/>
          <w:sz w:val="19"/>
          <w:szCs w:val="19"/>
        </w:rPr>
        <w:t xml:space="preserve">01_solvated_start.pdb</w:t>
      </w:r>
      <w:r>
        <w:t xml:space="preserve">), </w:t>
      </w:r>
      <w:r>
        <w:rPr>
          <w:rFonts w:ascii="Consolas" w:cs="Consolas" w:eastAsia="Consolas" w:hAnsi="Consolas"/>
          <w:sz w:val="19"/>
          <w:szCs w:val="19"/>
        </w:rPr>
        <w:t xml:space="preserve">build_peptide_only_system</w:t>
      </w:r>
      <w:r>
        <w:t xml:space="preserve">, </w:t>
      </w:r>
      <w:r>
        <w:rPr>
          <w:rFonts w:ascii="Consolas" w:cs="Consolas" w:eastAsia="Consolas" w:hAnsi="Consolas"/>
          <w:sz w:val="19"/>
          <w:szCs w:val="19"/>
        </w:rPr>
        <w:t xml:space="preserve">PeptideOnlyEvaluator</w:t>
      </w:r>
      <w:r>
        <w:t xml:space="preserve">, backbone quads/dihedrals, </w:t>
      </w:r>
      <w:r>
        <w:rPr>
          <w:rFonts w:ascii="Consolas" w:cs="Consolas" w:eastAsia="Consolas" w:hAnsi="Consolas"/>
          <w:sz w:val="19"/>
          <w:szCs w:val="19"/>
        </w:rPr>
        <w:t xml:space="preserve">evaluate_sample_frames</w:t>
      </w:r>
      <w:r>
        <w:t xml:space="preserve">, </w:t>
      </w:r>
      <w:r>
        <w:rPr>
          <w:rFonts w:ascii="Consolas" w:cs="Consolas" w:eastAsia="Consolas" w:hAnsi="Consolas"/>
          <w:sz w:val="19"/>
          <w:szCs w:val="19"/>
        </w:rPr>
        <w:t xml:space="preserve">peptide_energy_oracle_ok</w:t>
      </w:r>
      <w:r>
        <w:t xml:space="preserve">.</w:t>
      </w:r>
    </w:p>
    <w:p>
      <w:pPr>
        <w:pStyle w:val="ListParagraph"/>
        <w:numPr>
          <w:ilvl w:val="0"/>
          <w:numId w:val="2"/>
        </w:numPr>
        <w:spacing w:after="60"/>
      </w:pPr>
      <w:r>
        <w:rPr>
          <w:rFonts w:ascii="Consolas" w:cs="Consolas" w:eastAsia="Consolas" w:hAnsi="Consolas"/>
          <w:sz w:val="19"/>
          <w:szCs w:val="19"/>
        </w:rPr>
        <w:t xml:space="preserve">gareus/mbar_analysis/thermo_entropy.py</w:t>
      </w:r>
      <w:r>
        <w:t xml:space="preserve"> (81 lines): </w:t>
      </w:r>
      <w:r>
        <w:rPr>
          <w:rFonts w:ascii="Consolas" w:cs="Consolas" w:eastAsia="Consolas" w:hAnsi="Consolas"/>
          <w:sz w:val="19"/>
          <w:szCs w:val="19"/>
        </w:rPr>
        <w:t xml:space="preserve">torsion_bins</w:t>
      </w:r>
      <w:r>
        <w:t xml:space="preserve">, </w:t>
      </w:r>
      <w:r>
        <w:rPr>
          <w:rFonts w:ascii="Consolas" w:cs="Consolas" w:eastAsia="Consolas" w:hAnsi="Consolas"/>
          <w:sz w:val="19"/>
          <w:szCs w:val="19"/>
        </w:rPr>
        <w:t xml:space="preserve">mie_entropy</w:t>
      </w:r>
      <w:r>
        <w:t xml:space="preserve">, </w:t>
      </w:r>
      <w:r>
        <w:rPr>
          <w:rFonts w:ascii="Consolas" w:cs="Consolas" w:eastAsia="Consolas" w:hAnsi="Consolas"/>
          <w:sz w:val="19"/>
          <w:szCs w:val="19"/>
        </w:rPr>
        <w:t xml:space="preserve">basin_entropy</w:t>
      </w:r>
      <w:r>
        <w:t xml:space="preserve"> (replicates reuse the energy bootstrap's multinomial draws).</w:t>
      </w:r>
    </w:p>
    <w:p>
      <w:pPr>
        <w:pStyle w:val="ListParagraph"/>
        <w:numPr>
          <w:ilvl w:val="0"/>
          <w:numId w:val="2"/>
        </w:numPr>
        <w:spacing w:after="60"/>
      </w:pPr>
      <w:r>
        <w:t xml:space="preserve">Wiring: </w:t>
      </w:r>
      <w:r>
        <w:rPr>
          <w:rFonts w:ascii="Consolas" w:cs="Consolas" w:eastAsia="Consolas" w:hAnsi="Consolas"/>
          <w:sz w:val="19"/>
          <w:szCs w:val="19"/>
        </w:rPr>
        <w:t xml:space="preserve">analyze_gareus_mbar.py</w:t>
      </w:r>
      <w:r>
        <w:t xml:space="preserve"> calls </w:t>
      </w:r>
      <w:r>
        <w:rPr>
          <w:rFonts w:ascii="Consolas" w:cs="Consolas" w:eastAsia="Consolas" w:hAnsi="Consolas"/>
          <w:sz w:val="19"/>
          <w:szCs w:val="19"/>
        </w:rPr>
        <w:t xml:space="preserve">analyze_thermo_decomposition(d, args, m, …)</w:t>
      </w:r>
      <w:r>
        <w:t xml:space="preserve"> after the MBAR solve and stores the block in </w:t>
      </w:r>
      <w:r>
        <w:rPr>
          <w:rFonts w:ascii="Consolas" w:cs="Consolas" w:eastAsia="Consolas" w:hAnsi="Consolas"/>
          <w:sz w:val="19"/>
          <w:szCs w:val="19"/>
        </w:rPr>
        <w:t xml:space="preserve">pmf_summary.json["thermo_decomposition"]</w:t>
      </w:r>
      <w:r>
        <w:t xml:space="preserve">. </w:t>
      </w:r>
      <w:r>
        <w:rPr>
          <w:rFonts w:ascii="Consolas" w:cs="Consolas" w:eastAsia="Consolas" w:hAnsi="Consolas"/>
          <w:sz w:val="19"/>
          <w:szCs w:val="19"/>
        </w:rPr>
        <w:t xml:space="preserve">summary.py:_thermo_md</w:t>
      </w:r>
      <w:r>
        <w:t xml:space="preserve"> renders the difference tables into </w:t>
      </w:r>
      <w:r>
        <w:rPr>
          <w:rFonts w:ascii="Consolas" w:cs="Consolas" w:eastAsia="Consolas" w:hAnsi="Consolas"/>
          <w:sz w:val="19"/>
          <w:szCs w:val="19"/>
        </w:rPr>
        <w:t xml:space="preserve">pmf_summary.md</w:t>
      </w:r>
      <w:r>
        <w:t xml:space="preserve">. </w:t>
      </w:r>
      <w:r>
        <w:rPr>
          <w:rFonts w:ascii="Consolas" w:cs="Consolas" w:eastAsia="Consolas" w:hAnsi="Consolas"/>
          <w:sz w:val="19"/>
          <w:szCs w:val="19"/>
        </w:rPr>
        <w:t xml:space="preserve">loaders_union_parquet.py</w:t>
      </w:r>
      <w:r>
        <w:t xml:space="preserve"> now also records </w:t>
      </w:r>
      <w:r>
        <w:rPr>
          <w:rFonts w:ascii="Consolas" w:cs="Consolas" w:eastAsia="Consolas" w:hAnsi="Consolas"/>
          <w:sz w:val="19"/>
          <w:szCs w:val="19"/>
        </w:rPr>
        <w:t xml:space="preserve">_epoch_source_run_dirs</w:t>
      </w:r>
      <w:r>
        <w:t xml:space="preserve"> (§8).</w:t>
      </w:r>
    </w:p>
    <w:p>
      <w:pPr>
        <w:pStyle w:val="Heading2"/>
      </w:pPr>
      <w:r>
        <w:t xml:space="preserve">3.2 Data flow</w:t>
      </w:r>
    </w:p>
    <w:p>
      <w:pPr>
        <w:shd w:fill="F2F2F2" w:color="auto" w:val="clear"/>
        <w:spacing w:after="0"/>
      </w:pPr>
      <w:r>
        <w:rPr>
          <w:rFonts w:ascii="Consolas" w:cs="Consolas" w:eastAsia="Consolas" w:hAnsi="Consolas"/>
          <w:sz w:val="17"/>
          <w:szCs w:val="17"/>
        </w:rPr>
        <w:t xml:space="preserve">Parquet/CSV loaders -&gt; Data(cv, window, replica, step, u_nk, potential_kj, v_pep_kj, v_dih_kj, meta)</w:t>
      </w:r>
    </w:p>
    <w:p>
      <w:pPr>
        <w:shd w:fill="F2F2F2" w:color="auto" w:val="clear"/>
        <w:spacing w:after="0"/>
      </w:pPr>
      <w:r>
        <w:rPr>
          <w:rFonts w:ascii="Consolas" w:cs="Consolas" w:eastAsia="Consolas" w:hAnsi="Consolas"/>
          <w:sz w:val="17"/>
          <w:szCs w:val="17"/>
        </w:rPr>
        <w:t xml:space="preserve">  -&gt; MBAR solve (m["logw"]) -&gt; norm_logw -&gt; w_n</w:t>
      </w:r>
    </w:p>
    <w:p>
      <w:pPr>
        <w:shd w:fill="F2F2F2" w:color="auto" w:val="clear"/>
        <w:spacing w:after="0"/>
      </w:pPr>
      <w:r>
        <w:rPr>
          <w:rFonts w:ascii="Consolas" w:cs="Consolas" w:eastAsia="Consolas" w:hAnsi="Consolas"/>
          <w:sz w:val="17"/>
          <w:szCs w:val="17"/>
        </w:rPr>
        <w:t xml:space="preserve">  -&gt; thermo.compute_thermo: channels (W_own, U, V_pep, U_ee, ...) -&gt; basin sums per (basin, block)</w:t>
      </w:r>
    </w:p>
    <w:p>
      <w:pPr>
        <w:shd w:fill="F2F2F2" w:color="auto" w:val="clear"/>
        <w:spacing w:after="0"/>
      </w:pPr>
      <w:r>
        <w:rPr>
          <w:rFonts w:ascii="Consolas" w:cs="Consolas" w:eastAsia="Consolas" w:hAnsi="Consolas"/>
          <w:sz w:val="17"/>
          <w:szCs w:val="17"/>
        </w:rPr>
        <w:t xml:space="preserve">       -&gt; point estimates + multinomial block bootstrap -&gt; differences, CV1 profiles</w:t>
      </w:r>
    </w:p>
    <w:p>
      <w:pPr>
        <w:shd w:fill="F2F2F2" w:color="auto" w:val="clear"/>
        <w:spacing w:after="0"/>
      </w:pPr>
      <w:r>
        <w:rPr>
          <w:rFonts w:ascii="Consolas" w:cs="Consolas" w:eastAsia="Consolas" w:hAnsi="Consolas"/>
          <w:sz w:val="17"/>
          <w:szCs w:val="17"/>
        </w:rPr>
        <w:t xml:space="preserve">  -&gt; [--thermo-frames] thermo_frames.evaluate_sample_frames -&gt; v_dih oracle -&gt; compute_thermo on the</w:t>
      </w:r>
    </w:p>
    <w:p>
      <w:pPr>
        <w:shd w:fill="F2F2F2" w:color="auto" w:val="clear"/>
        <w:spacing w:after="0"/>
      </w:pPr>
      <w:r>
        <w:rPr>
          <w:rFonts w:ascii="Consolas" w:cs="Consolas" w:eastAsia="Consolas" w:hAnsi="Consolas"/>
          <w:sz w:val="17"/>
          <w:szCs w:val="17"/>
        </w:rPr>
        <w:t xml:space="preserve">       frame subset with extra_channels {V_pp, V_pp_nb, V_pp_bonded} + torsions -&gt; MIE entropy</w:t>
      </w:r>
    </w:p>
    <w:p>
      <w:pPr>
        <w:spacing w:after="120"/>
      </w:pPr>
    </w:p>
    <w:p>
      <w:pPr>
        <w:spacing w:after="120"/>
      </w:pPr>
      <w:r>
        <w:t xml:space="preserve">The estimator precomputes per-(basin, block) sums of w and w·X once. Each bootstrap replicate draws one multinomial count vector over blocks, where a block is one replica within one epoch/phase (</w:t>
      </w:r>
      <w:r>
        <w:rPr>
          <w:rFonts w:ascii="Consolas" w:cs="Consolas" w:eastAsia="Consolas" w:hAnsi="Consolas"/>
          <w:sz w:val="19"/>
          <w:szCs w:val="19"/>
        </w:rPr>
        <w:t xml:space="preserve">_sample_block_ids</w:t>
      </w:r>
      <w:r>
        <w:t xml:space="preserve">, the same convention as </w:t>
      </w:r>
      <w:r>
        <w:rPr>
          <w:rFonts w:ascii="Consolas" w:cs="Consolas" w:eastAsia="Consolas" w:hAnsi="Consolas"/>
          <w:sz w:val="19"/>
          <w:szCs w:val="19"/>
        </w:rPr>
        <w:t xml:space="preserve">--pmf-uncertainty</w:t>
      </w:r>
      <w:r>
        <w:t xml:space="preserve">). That vector is applied to every basin, bin, channel and the torsion histograms, and ΔG, ΔH and −TΔS are formed inside the replicate. Replicates are therefore paired, and SEs are never combined across separately bootstrapped quantities. The CV1 profiles report ⟨X⟩(s) − ⟨X⟩(ref) per bin (reference = the most-populated usable bin, ≥ 50 samples), alongside the PMF.</w:t>
      </w:r>
    </w:p>
    <w:p>
      <w:pPr>
        <w:pStyle w:val="Heading2"/>
      </w:pPr>
      <w:r>
        <w:t xml:space="preserve">3.3 Frame alignment and PME pinning</w:t>
      </w:r>
    </w:p>
    <w:p>
      <w:pPr>
        <w:spacing w:after="120"/>
      </w:pPr>
      <w:r>
        <w:t xml:space="preserve">Samples are keyed by (epoch source, replica, step). For each XTC frame the step is round(time/dt), with dt taken from </w:t>
      </w:r>
      <w:r>
        <w:rPr>
          <w:rFonts w:ascii="Consolas" w:cs="Consolas" w:eastAsia="Consolas" w:hAnsi="Consolas"/>
          <w:sz w:val="19"/>
          <w:szCs w:val="19"/>
        </w:rPr>
        <w:t xml:space="preserve">run_args.json</w:t>
      </w:r>
      <w:r>
        <w:t xml:space="preserve">. A later resume segment overrides an earlier one for the same step, and stride keeps frames with (step / traj_interval) mod N = 0. The phase directory of each </w:t>
      </w:r>
      <w:r>
        <w:rPr>
          <w:rFonts w:ascii="Consolas" w:cs="Consolas" w:eastAsia="Consolas" w:hAnsi="Consolas"/>
          <w:sz w:val="19"/>
          <w:szCs w:val="19"/>
        </w:rPr>
        <w:t xml:space="preserve">_epoch_source</w:t>
      </w:r>
      <w:r>
        <w:t xml:space="preserve"> value comes from the new </w:t>
      </w:r>
      <w:r>
        <w:rPr>
          <w:rFonts w:ascii="Consolas" w:cs="Consolas" w:eastAsia="Consolas" w:hAnsi="Consolas"/>
          <w:sz w:val="19"/>
          <w:szCs w:val="19"/>
        </w:rPr>
        <w:t xml:space="preserve">_epoch_source_run_dirs</w:t>
      </w:r>
      <w:r>
        <w:t xml:space="preserve">. Without that key, </w:t>
      </w:r>
      <w:r>
        <w:rPr>
          <w:rFonts w:ascii="Consolas" w:cs="Consolas" w:eastAsia="Consolas" w:hAnsi="Consolas"/>
          <w:sz w:val="19"/>
          <w:szCs w:val="19"/>
        </w:rPr>
        <w:t xml:space="preserve">adaptive_epoch_run_dirs</w:t>
      </w:r>
      <w:r>
        <w:t xml:space="preserve"> is accepted only when it has exactly one entry per source; otherwise the stage refuses. For solute-only XTCs, peptide atoms are checked by name/residue against the rebuilt topology.</w:t>
      </w:r>
    </w:p>
    <w:p>
      <w:pPr>
        <w:spacing w:after="120"/>
      </w:pPr>
      <w:r>
        <w:t xml:space="preserve">α and the PME grid are reproduced the way production's </w:t>
      </w:r>
      <w:r>
        <w:rPr>
          <w:rFonts w:ascii="Consolas" w:cs="Consolas" w:eastAsia="Consolas" w:hAnsi="Consolas"/>
          <w:sz w:val="19"/>
          <w:szCs w:val="19"/>
        </w:rPr>
        <w:t xml:space="preserve">_pin_pme_parameters</w:t>
      </w:r>
      <w:r>
        <w:t xml:space="preserve"> sets them: explicit parameters if set, else OpenMM's tolerance formula (</w:t>
      </w:r>
      <w:r>
        <w:rPr>
          <w:rFonts w:ascii="Consolas" w:cs="Consolas" w:eastAsia="Consolas" w:hAnsi="Consolas"/>
          <w:sz w:val="19"/>
          <w:szCs w:val="19"/>
        </w:rPr>
        <w:t xml:space="preserve">pme_parameters_from_tolerance</w:t>
      </w:r>
      <w:r>
        <w:t xml:space="preserve">) on the </w:t>
      </w:r>
      <w:r>
        <w:rPr>
          <w:b/>
          <w:bCs/>
        </w:rPr>
        <w:t xml:space="preserve">solvated topology's default box</w:t>
      </w:r>
      <w:r>
        <w:t xml:space="preserve"> (</w:t>
      </w:r>
      <w:r>
        <w:rPr>
          <w:rFonts w:ascii="Consolas" w:cs="Consolas" w:eastAsia="Consolas" w:hAnsi="Consolas"/>
          <w:sz w:val="19"/>
          <w:szCs w:val="19"/>
        </w:rPr>
        <w:t xml:space="preserve">01_solvated_start.pdb</w:t>
      </w:r>
      <w:r>
        <w:t xml:space="preserve">), never the per-frame box. On chignolin_8 this gives α = 3.6480 nm</w:t>
      </w:r>
      <w:r>
        <w:rPr>
          <w:vertAlign w:val="superscript"/>
        </w:rPr>
        <w:t xml:space="preserve">−1</w:t>
      </w:r>
      <w:r>
        <w:t xml:space="preserve"> and a 90³ grid from the 5.82 nm box. The frame's own box vectors are set on the Context, so images and reciprocal space follow NPT volume changes at fixed α/grid, as production does.</w:t>
      </w:r>
    </w:p>
    <w:p>
      <w:pPr>
        <w:spacing w:after="120"/>
      </w:pPr>
      <w:r>
        <w:rPr>
          <w:b/>
          <w:bCs/>
        </w:rPr>
        <w:t xml:space="preserve">Alignment oracle.</w:t>
      </w:r>
      <w:r>
        <w:t xml:space="preserve"> The offline torsion energy E</w:t>
      </w:r>
      <w:r>
        <w:rPr>
          <w:vertAlign w:val="subscript"/>
        </w:rPr>
        <w:t xml:space="preserve">dih</w:t>
      </w:r>
      <w:r>
        <w:t xml:space="preserve"> of each matched frame must reproduce the recorded </w:t>
      </w:r>
      <w:r>
        <w:rPr>
          <w:rFonts w:ascii="Consolas" w:cs="Consolas" w:eastAsia="Consolas" w:hAnsi="Consolas"/>
          <w:sz w:val="19"/>
          <w:szCs w:val="19"/>
        </w:rPr>
        <w:t xml:space="preserve">v_dih_kj_mol</w:t>
      </w:r>
      <w:r>
        <w:t xml:space="preserve"> of its sample, with median |Δ| ≤ 2 kJ/mol. A frame matched to the wrong sample differs by ~σ(v</w:t>
      </w:r>
      <w:r>
        <w:rPr>
          <w:vertAlign w:val="subscript"/>
        </w:rPr>
        <w:t xml:space="preserve">dih</w:t>
      </w:r>
      <w:r>
        <w:t xml:space="preserve">). On failure the whole frame block is refused. The chignolin_8 result was median 0.73 kJ/mol and p99 2.9 kJ/mol (XTC coordinate rounding) over 48,112 frames.</w:t>
      </w:r>
    </w:p>
    <w:p>
      <w:pPr>
        <w:pStyle w:val="Heading2"/>
      </w:pPr>
      <w:r>
        <w:t xml:space="preserve">3.4 Fail-closed gates</w:t>
      </w:r>
    </w:p>
    <w:p>
      <w:pPr>
        <w:keepNext/>
        <w:spacing w:after="80" w:before="160"/>
      </w:pPr>
      <w:r>
        <w:rPr>
          <w:b/>
          <w:bCs/>
          <w:sz w:val="19"/>
          <w:szCs w:val="19"/>
        </w:rPr>
        <w:t xml:space="preserve">Table 2. </w:t>
      </w:r>
      <w:r>
        <w:rPr>
          <w:sz w:val="19"/>
          <w:szCs w:val="19"/>
        </w:rPr>
        <w:t xml:space="preserve">Preconditions. Channel groups degrade independently; the report always states which channels are available and why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7"/>
        <w:gridCol w:w="4131"/>
        <w:gridCol w:w="4130"/>
      </w:tblGrid>
      <w:tr>
        <w:trPr>
          <w:tblHeader/>
        </w:trPr>
        <w:tc>
          <w:tcPr>
            <w:tcW w:type="dxa" w:w="1377"/>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Gate</w:t>
            </w:r>
          </w:p>
        </w:tc>
        <w:tc>
          <w:tcPr>
            <w:tcW w:type="dxa" w:w="4131"/>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Condition</w:t>
            </w:r>
          </w:p>
        </w:tc>
        <w:tc>
          <w:tcPr>
            <w:tcW w:type="dxa" w:w="4130"/>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On failure</w:t>
            </w:r>
          </w:p>
        </w:tc>
      </w:tr>
      <w:tr>
        <w:trPr>
          <w:cantSplit/>
        </w:trPr>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Potential</w:t>
            </w:r>
          </w:p>
        </w:tc>
        <w:tc>
          <w:tcPr>
            <w:tcW w:type="dxa" w:w="413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finite </w:t>
            </w:r>
            <w:r>
              <w:rPr>
                <w:rFonts w:ascii="Consolas" w:cs="Consolas" w:eastAsia="Consolas" w:hAnsi="Consolas"/>
                <w:sz w:val="16"/>
                <w:szCs w:val="16"/>
              </w:rPr>
              <w:t xml:space="preserve">potential</w:t>
            </w:r>
            <w:r>
              <w:rPr>
                <w:sz w:val="18"/>
                <w:szCs w:val="18"/>
              </w:rPr>
              <w:t xml:space="preserve"> (sample_potential_energy on)</w:t>
            </w:r>
          </w:p>
        </w:tc>
        <w:tc>
          <w:tcPr>
            <w:tcW w:type="dxa" w:w="41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stage </w:t>
            </w:r>
            <w:r>
              <w:rPr>
                <w:rFonts w:ascii="Consolas" w:cs="Consolas" w:eastAsia="Consolas" w:hAnsi="Consolas"/>
                <w:sz w:val="16"/>
                <w:szCs w:val="16"/>
              </w:rPr>
              <w:t xml:space="preserve">available: false</w:t>
            </w:r>
          </w:p>
        </w:tc>
      </w:tr>
      <w:tr>
        <w:trPr>
          <w:cantSplit/>
        </w:trPr>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Weights</w:t>
            </w:r>
          </w:p>
        </w:tc>
        <w:tc>
          <w:tcPr>
            <w:tcW w:type="dxa" w:w="413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λ-ladder (</w:t>
            </w:r>
            <w:r>
              <w:rPr>
                <w:rFonts w:ascii="Consolas" w:cs="Consolas" w:eastAsia="Consolas" w:hAnsi="Consolas"/>
                <w:sz w:val="16"/>
                <w:szCs w:val="16"/>
              </w:rPr>
              <w:t xml:space="preserve">meta["gamd_ladder"]</w:t>
            </w:r>
            <w:r>
              <w:rPr>
                <w:sz w:val="18"/>
                <w:szCs w:val="18"/>
              </w:rPr>
              <w:t xml:space="preserve">) or unboosted (boost ≡ 0/absent) → logw used directly</w:t>
            </w:r>
          </w:p>
        </w:tc>
        <w:tc>
          <w:tcPr>
            <w:tcW w:type="dxa" w:w="41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stock GaMD without a ladder refused: per-sample exponential reweighting has near-zero ESS at σ(U) ≈ 500 kJ/mol; cumulants give no per-sample weights</w:t>
            </w:r>
          </w:p>
        </w:tc>
      </w:tr>
      <w:tr>
        <w:trPr>
          <w:cantSplit/>
        </w:trPr>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W</w:t>
            </w:r>
            <w:r>
              <w:rPr>
                <w:sz w:val="18"/>
                <w:szCs w:val="18"/>
                <w:vertAlign w:val="subscript"/>
              </w:rPr>
              <w:t xml:space="preserve">own</w:t>
            </w:r>
          </w:p>
        </w:tc>
        <w:tc>
          <w:tcPr>
            <w:tcW w:type="dxa" w:w="413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recoverable (off-ladder, or ladder with envelope + finite v</w:t>
            </w:r>
            <w:r>
              <w:rPr>
                <w:sz w:val="18"/>
                <w:szCs w:val="18"/>
                <w:vertAlign w:val="subscript"/>
              </w:rPr>
              <w:t xml:space="preserve">pep</w:t>
            </w:r>
            <w:r>
              <w:rPr>
                <w:sz w:val="18"/>
                <w:szCs w:val="18"/>
              </w:rPr>
              <w:t xml:space="preserve">/v</w:t>
            </w:r>
            <w:r>
              <w:rPr>
                <w:sz w:val="18"/>
                <w:szCs w:val="18"/>
                <w:vertAlign w:val="subscript"/>
              </w:rPr>
              <w:t xml:space="preserve">dih</w:t>
            </w:r>
            <w:r>
              <w:rPr>
                <w:sz w:val="18"/>
                <w:szCs w:val="18"/>
              </w:rPr>
              <w:t xml:space="preserve">); no W</w:t>
            </w:r>
            <w:r>
              <w:rPr>
                <w:sz w:val="18"/>
                <w:szCs w:val="18"/>
                <w:vertAlign w:val="subscript"/>
              </w:rPr>
              <w:t xml:space="preserve">own</w:t>
            </w:r>
            <w:r>
              <w:rPr>
                <w:sz w:val="18"/>
                <w:szCs w:val="18"/>
              </w:rPr>
              <w:t xml:space="preserve"> &lt; −10</w:t>
            </w:r>
            <w:r>
              <w:rPr>
                <w:sz w:val="18"/>
                <w:szCs w:val="18"/>
                <w:vertAlign w:val="superscript"/>
              </w:rPr>
              <w:t xml:space="preserve">−6</w:t>
            </w:r>
            <w:r>
              <w:rPr>
                <w:sz w:val="18"/>
                <w:szCs w:val="18"/>
              </w:rPr>
              <w:t xml:space="preserve"> kJ/mol</w:t>
            </w:r>
          </w:p>
        </w:tc>
        <w:tc>
          <w:tcPr>
            <w:tcW w:type="dxa" w:w="41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stage unavailable with count/min of negative values; per-state median β·W</w:t>
            </w:r>
            <w:r>
              <w:rPr>
                <w:sz w:val="18"/>
                <w:szCs w:val="18"/>
                <w:vertAlign w:val="subscript"/>
              </w:rPr>
              <w:t xml:space="preserve">own</w:t>
            </w:r>
            <w:r>
              <w:rPr>
                <w:sz w:val="18"/>
                <w:szCs w:val="18"/>
              </w:rPr>
              <w:t xml:space="preserve"> reported (HIGH above 10 kT)</w:t>
            </w:r>
          </w:p>
        </w:tc>
      </w:tr>
      <w:tr>
        <w:trPr>
          <w:cantSplit/>
        </w:trPr>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Split</w:t>
            </w:r>
          </w:p>
        </w:tc>
        <w:tc>
          <w:tcPr>
            <w:tcW w:type="dxa" w:w="413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boost type </w:t>
            </w:r>
            <w:r>
              <w:rPr>
                <w:sz w:val="18"/>
                <w:szCs w:val="18"/>
              </w:rPr>
              <w:t xml:space="preserve">exactly</w:t>
            </w:r>
            <w:r>
              <w:rPr>
                <w:sz w:val="18"/>
                <w:szCs w:val="18"/>
              </w:rPr>
              <w:t xml:space="preserve"> </w:t>
            </w:r>
            <w:r>
              <w:rPr>
                <w:rFonts w:ascii="Consolas" w:cs="Consolas" w:eastAsia="Consolas" w:hAnsi="Consolas"/>
                <w:sz w:val="16"/>
                <w:szCs w:val="16"/>
              </w:rPr>
              <w:t xml:space="preserve">pep-gamd-lower-dual</w:t>
            </w:r>
            <w:r>
              <w:rPr>
                <w:sz w:val="18"/>
                <w:szCs w:val="18"/>
              </w:rPr>
              <w:t xml:space="preserve"> (from run manifest) and finite v</w:t>
            </w:r>
            <w:r>
              <w:rPr>
                <w:sz w:val="18"/>
                <w:szCs w:val="18"/>
                <w:vertAlign w:val="subscript"/>
              </w:rPr>
              <w:t xml:space="preserve">pep</w:t>
            </w:r>
            <w:r>
              <w:rPr>
                <w:sz w:val="18"/>
                <w:szCs w:val="18"/>
              </w:rPr>
              <w:t xml:space="preserve">, v</w:t>
            </w:r>
            <w:r>
              <w:rPr>
                <w:sz w:val="18"/>
                <w:szCs w:val="18"/>
                <w:vertAlign w:val="subscript"/>
              </w:rPr>
              <w:t xml:space="preserve">dih</w:t>
            </w:r>
          </w:p>
        </w:tc>
        <w:tc>
          <w:tcPr>
            <w:tcW w:type="dxa" w:w="41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ΔV</w:t>
            </w:r>
            <w:r>
              <w:rPr>
                <w:sz w:val="18"/>
                <w:szCs w:val="18"/>
                <w:vertAlign w:val="subscript"/>
              </w:rPr>
              <w:t xml:space="preserve">pep</w:t>
            </w:r>
            <w:r>
              <w:rPr>
                <w:sz w:val="18"/>
                <w:szCs w:val="18"/>
              </w:rPr>
              <w:t xml:space="preserve">/ΔU</w:t>
            </w:r>
            <w:r>
              <w:rPr>
                <w:sz w:val="18"/>
                <w:szCs w:val="18"/>
                <w:vertAlign w:val="subscript"/>
              </w:rPr>
              <w:t xml:space="preserve">ee</w:t>
            </w:r>
            <w:r>
              <w:rPr>
                <w:sz w:val="18"/>
                <w:szCs w:val="18"/>
              </w:rPr>
              <w:t xml:space="preserve">/−TΔS′ unavailable; totals kept. </w:t>
            </w:r>
            <w:r>
              <w:rPr>
                <w:rFonts w:ascii="Consolas" w:cs="Consolas" w:eastAsia="Consolas" w:hAnsi="Consolas"/>
                <w:sz w:val="16"/>
                <w:szCs w:val="16"/>
              </w:rPr>
              <w:t xml:space="preserve">pep-gamd-lower-dual-rs</w:t>
            </w:r>
            <w:r>
              <w:rPr>
                <w:sz w:val="18"/>
                <w:szCs w:val="18"/>
              </w:rPr>
              <w:t xml:space="preserve">, stock and unknown types refused</w:t>
            </w:r>
          </w:p>
        </w:tc>
      </w:tr>
      <w:tr>
        <w:trPr>
          <w:cantSplit/>
        </w:trPr>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Basin sampling</w:t>
            </w:r>
          </w:p>
        </w:tc>
        <w:tc>
          <w:tcPr>
            <w:tcW w:type="dxa" w:w="413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weight ESS ≥ </w:t>
            </w:r>
            <w:r>
              <w:rPr>
                <w:rFonts w:ascii="Consolas" w:cs="Consolas" w:eastAsia="Consolas" w:hAnsi="Consolas"/>
                <w:sz w:val="16"/>
                <w:szCs w:val="16"/>
              </w:rPr>
              <w:t xml:space="preserve">--thermo-min-basin-ess</w:t>
            </w:r>
            <w:r>
              <w:rPr>
                <w:sz w:val="18"/>
                <w:szCs w:val="18"/>
              </w:rPr>
              <w:t xml:space="preserve"> (1000) and ≥ </w:t>
            </w:r>
            <w:r>
              <w:rPr>
                <w:rFonts w:ascii="Consolas" w:cs="Consolas" w:eastAsia="Consolas" w:hAnsi="Consolas"/>
                <w:sz w:val="16"/>
                <w:szCs w:val="16"/>
              </w:rPr>
              <w:t xml:space="preserve">--thermo-min-basin-blocks</w:t>
            </w:r>
            <w:r>
              <w:rPr>
                <w:sz w:val="18"/>
                <w:szCs w:val="18"/>
              </w:rPr>
              <w:t xml:space="preserve"> (8) blocks</w:t>
            </w:r>
          </w:p>
        </w:tc>
        <w:tc>
          <w:tcPr>
            <w:tcW w:type="dxa" w:w="41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every difference involving the basin </w:t>
            </w:r>
            <w:r>
              <w:rPr>
                <w:rFonts w:ascii="Consolas" w:cs="Consolas" w:eastAsia="Consolas" w:hAnsi="Consolas"/>
                <w:sz w:val="16"/>
                <w:szCs w:val="16"/>
              </w:rPr>
              <w:t xml:space="preserve">status: inconclusive</w:t>
            </w:r>
            <w:r>
              <w:rPr>
                <w:sz w:val="18"/>
                <w:szCs w:val="18"/>
              </w:rPr>
              <w:t xml:space="preserve">, numbers still written</w:t>
            </w:r>
          </w:p>
        </w:tc>
      </w:tr>
      <w:tr>
        <w:trPr>
          <w:cantSplit/>
        </w:trPr>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Basins</w:t>
            </w:r>
          </w:p>
        </w:tc>
        <w:tc>
          <w:tcPr>
            <w:tcW w:type="dxa" w:w="413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explicit </w:t>
            </w:r>
            <w:r>
              <w:rPr>
                <w:rFonts w:ascii="Consolas" w:cs="Consolas" w:eastAsia="Consolas" w:hAnsi="Consolas"/>
                <w:sz w:val="16"/>
                <w:szCs w:val="16"/>
              </w:rPr>
              <w:t xml:space="preserve">--thermo-basin NAME:LO:HI</w:t>
            </w:r>
          </w:p>
        </w:tc>
        <w:tc>
          <w:tcPr>
            <w:tcW w:type="dxa" w:w="41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auto</w:t>
            </w:r>
            <w:r>
              <w:rPr>
                <w:sz w:val="18"/>
                <w:szCs w:val="18"/>
              </w:rPr>
              <w:t xml:space="preserve"> split at highest barrier (≥ 1 kT) between two deepest interior minima, labelled; one minimum → profiles only</w:t>
            </w:r>
          </w:p>
        </w:tc>
      </w:tr>
      <w:tr>
        <w:trPr>
          <w:cantSplit/>
        </w:trPr>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Frames</w:t>
            </w:r>
          </w:p>
        </w:tc>
        <w:tc>
          <w:tcPr>
            <w:tcW w:type="dxa" w:w="413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v</w:t>
            </w:r>
            <w:r>
              <w:rPr>
                <w:sz w:val="18"/>
                <w:szCs w:val="18"/>
                <w:vertAlign w:val="subscript"/>
              </w:rPr>
              <w:t xml:space="preserve">dih</w:t>
            </w:r>
            <w:r>
              <w:rPr>
                <w:sz w:val="18"/>
                <w:szCs w:val="18"/>
              </w:rPr>
              <w:t xml:space="preserve"> oracle; no coupling term, no NB offsets; mapping of sources to phase dirs</w:t>
            </w:r>
          </w:p>
        </w:tc>
        <w:tc>
          <w:tcPr>
            <w:tcW w:type="dxa" w:w="41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frame block refused with reason; phase-1 block unaffected</w:t>
            </w:r>
          </w:p>
        </w:tc>
      </w:tr>
    </w:tbl>
    <w:p>
      <w:pPr>
        <w:pStyle w:val="Heading1"/>
      </w:pPr>
      <w:r>
        <w:t xml:space="preserve">4. Validation</w:t>
      </w:r>
    </w:p>
    <w:p>
      <w:pPr>
        <w:spacing w:after="120"/>
      </w:pPr>
      <w:r>
        <w:t xml:space="preserve">Two test files cover the stage: </w:t>
      </w:r>
      <w:r>
        <w:rPr>
          <w:rFonts w:ascii="Consolas" w:cs="Consolas" w:eastAsia="Consolas" w:hAnsi="Consolas"/>
          <w:sz w:val="19"/>
          <w:szCs w:val="19"/>
        </w:rPr>
        <w:t xml:space="preserve">tests/test_thermo_decomposition.py</w:t>
      </w:r>
      <w:r>
        <w:t xml:space="preserve"> (22 test functions, one parametrized) and </w:t>
      </w:r>
      <w:r>
        <w:rPr>
          <w:rFonts w:ascii="Consolas" w:cs="Consolas" w:eastAsia="Consolas" w:hAnsi="Consolas"/>
          <w:sz w:val="19"/>
          <w:szCs w:val="19"/>
        </w:rPr>
        <w:t xml:space="preserve">tests/test_thermo_frames_openmm.py</w:t>
      </w:r>
      <w:r>
        <w:t xml:space="preserve"> (10 tests, OpenMM Reference on the solvated GA-dipeptide fixture). The latest reported run is 351 passed, covering these files plus the loader and summary suites. That count comes from the implementing session and was not re-run for this report. Table 3 lists what each oracle proves.</w:t>
      </w:r>
    </w:p>
    <w:p>
      <w:pPr>
        <w:keepNext/>
        <w:spacing w:after="80" w:before="160"/>
      </w:pPr>
      <w:r>
        <w:rPr>
          <w:b/>
          <w:bCs/>
          <w:sz w:val="19"/>
          <w:szCs w:val="19"/>
        </w:rPr>
        <w:t xml:space="preserve">Table 3. </w:t>
      </w:r>
      <w:r>
        <w:rPr>
          <w:sz w:val="19"/>
          <w:szCs w:val="19"/>
        </w:rPr>
        <w:t xml:space="preserve">Test oracles.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42"/>
        <w:gridCol w:w="5896"/>
      </w:tblGrid>
      <w:tr>
        <w:trPr>
          <w:tblHeader/>
        </w:trPr>
        <w:tc>
          <w:tcPr>
            <w:tcW w:type="dxa" w:w="3742"/>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Test</w:t>
            </w:r>
          </w:p>
        </w:tc>
        <w:tc>
          <w:tcPr>
            <w:tcW w:type="dxa" w:w="5896"/>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What it proves</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basin_thermodynamics_match_quadrature</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independent oracle: 200k importance-weighted samples with analytic V</w:t>
            </w:r>
            <w:r>
              <w:rPr>
                <w:sz w:val="18"/>
                <w:szCs w:val="18"/>
                <w:vertAlign w:val="subscript"/>
              </w:rPr>
              <w:t xml:space="preserve">pep</w:t>
            </w:r>
            <w:r>
              <w:rPr>
                <w:sz w:val="18"/>
                <w:szCs w:val="18"/>
              </w:rPr>
              <w:t xml:space="preserve"> = ax, U</w:t>
            </w:r>
            <w:r>
              <w:rPr>
                <w:sz w:val="18"/>
                <w:szCs w:val="18"/>
                <w:vertAlign w:val="subscript"/>
              </w:rPr>
              <w:t xml:space="preserve">ee</w:t>
            </w:r>
            <w:r>
              <w:rPr>
                <w:sz w:val="18"/>
                <w:szCs w:val="18"/>
              </w:rPr>
              <w:t xml:space="preserve"> = b sin 3x; ΔG, ΔH, ΔV</w:t>
            </w:r>
            <w:r>
              <w:rPr>
                <w:sz w:val="18"/>
                <w:szCs w:val="18"/>
                <w:vertAlign w:val="subscript"/>
              </w:rPr>
              <w:t xml:space="preserve">pep</w:t>
            </w:r>
            <w:r>
              <w:rPr>
                <w:sz w:val="18"/>
                <w:szCs w:val="18"/>
              </w:rPr>
              <w:t xml:space="preserve">, ΔU</w:t>
            </w:r>
            <w:r>
              <w:rPr>
                <w:sz w:val="18"/>
                <w:szCs w:val="18"/>
                <w:vertAlign w:val="subscript"/>
              </w:rPr>
              <w:t xml:space="preserve">ee</w:t>
            </w:r>
            <w:r>
              <w:rPr>
                <w:sz w:val="18"/>
                <w:szCs w:val="18"/>
              </w:rPr>
              <w:t xml:space="preserve"> match 200,001-point quadrature to 0.05 kJ/mol; a constant umbrella is removed; ΔH = ΔV</w:t>
            </w:r>
            <w:r>
              <w:rPr>
                <w:sz w:val="18"/>
                <w:szCs w:val="18"/>
                <w:vertAlign w:val="subscript"/>
              </w:rPr>
              <w:t xml:space="preserve">pep</w:t>
            </w:r>
            <w:r>
              <w:rPr>
                <w:sz w:val="18"/>
                <w:szCs w:val="18"/>
              </w:rPr>
              <w:t xml:space="preserve"> + ΔU</w:t>
            </w:r>
            <w:r>
              <w:rPr>
                <w:sz w:val="18"/>
                <w:szCs w:val="18"/>
                <w:vertAlign w:val="subscript"/>
              </w:rPr>
              <w:t xml:space="preserve">ee</w:t>
            </w:r>
            <w:r>
              <w:rPr>
                <w:sz w:val="18"/>
                <w:szCs w:val="18"/>
              </w:rPr>
              <w:t xml:space="preserve">, −TΔS, −TΔS′ identities hold per replicate</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umbrella_not_removed_is_a_detectable_error</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mutation: leaving a CV-dependent W in U shifts ΔH by &gt; 2 kJ/mol (the channel is not blind to W)</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own_umbrella_ladder_* / ladder_run_recovers_umbrella_through_compute_thermo</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ladder W</w:t>
            </w:r>
            <w:r>
              <w:rPr>
                <w:sz w:val="18"/>
                <w:szCs w:val="18"/>
                <w:vertAlign w:val="subscript"/>
              </w:rPr>
              <w:t xml:space="preserve">own</w:t>
            </w:r>
            <w:r>
              <w:rPr>
                <w:sz w:val="18"/>
                <w:szCs w:val="18"/>
              </w:rPr>
              <w:t xml:space="preserve"> = own column/β minus the own-rung boost, exactly; ΔH does not see the boost end to end; missing envelope refuses</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negative_own_umbrella_is_flagged; split_requires_exact_kernel_name; weight_policy</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the fail-closed gates of Table 2</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basin_with_few_blocks_is_inconclusive; basins_are_half_open…; auto_basins_*</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sampling gate, half-open basins, auto split ignores a noise wiggle in a single well</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mie_entropy_analytic</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two uniform torsions: S</w:t>
            </w:r>
            <w:r>
              <w:rPr>
                <w:sz w:val="18"/>
                <w:szCs w:val="18"/>
                <w:vertAlign w:val="subscript"/>
              </w:rPr>
              <w:t xml:space="preserve">1</w:t>
            </w:r>
            <w:r>
              <w:rPr>
                <w:sz w:val="18"/>
                <w:szCs w:val="18"/>
              </w:rPr>
              <w:t xml:space="preserve"> = 2 ln 12, identical torsions I = H, point mass S = 0</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frame_channels_and_entropy_in_basin_differences</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one population for every quantity; V</w:t>
            </w:r>
            <w:r>
              <w:rPr>
                <w:sz w:val="18"/>
                <w:szCs w:val="18"/>
                <w:vertAlign w:val="subscript"/>
              </w:rPr>
              <w:t xml:space="preserve">pe</w:t>
            </w:r>
            <w:r>
              <w:rPr>
                <w:sz w:val="18"/>
                <w:szCs w:val="18"/>
              </w:rPr>
              <w:t xml:space="preserve"> = V</w:t>
            </w:r>
            <w:r>
              <w:rPr>
                <w:sz w:val="18"/>
                <w:szCs w:val="18"/>
                <w:vertAlign w:val="subscript"/>
              </w:rPr>
              <w:t xml:space="preserve">pep</w:t>
            </w:r>
            <w:r>
              <w:rPr>
                <w:sz w:val="18"/>
                <w:szCs w:val="18"/>
              </w:rPr>
              <w:t xml:space="preserve"> − V</w:t>
            </w:r>
            <w:r>
              <w:rPr>
                <w:sz w:val="18"/>
                <w:szCs w:val="18"/>
                <w:vertAlign w:val="subscript"/>
              </w:rPr>
              <w:t xml:space="preserve">pp</w:t>
            </w:r>
            <w:r>
              <w:rPr>
                <w:sz w:val="18"/>
                <w:szCs w:val="18"/>
              </w:rPr>
              <w:t xml:space="preserve"> and −TΔS</w:t>
            </w:r>
            <w:r>
              <w:rPr>
                <w:sz w:val="18"/>
                <w:szCs w:val="18"/>
                <w:vertAlign w:val="subscript"/>
              </w:rPr>
              <w:t xml:space="preserve">solv</w:t>
            </w:r>
            <w:r>
              <w:rPr>
                <w:sz w:val="18"/>
                <w:szCs w:val="18"/>
              </w:rPr>
              <w:t xml:space="preserve"> identities per replicate; TΔS</w:t>
            </w:r>
            <w:r>
              <w:rPr>
                <w:sz w:val="18"/>
                <w:szCs w:val="18"/>
                <w:vertAlign w:val="subscript"/>
              </w:rPr>
              <w:t xml:space="preserve">conf</w:t>
            </w:r>
            <w:r>
              <w:rPr>
                <w:sz w:val="18"/>
                <w:szCs w:val="18"/>
              </w:rPr>
              <w:t xml:space="preserve"> ≈ −2kT ln 12 for uniform → concentrated</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builder_matches_forcefield_built_peptide_system</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peptide-only builder = force-field-built water-deleted System (NB, bonded, torsion to 10</w:t>
            </w:r>
            <w:r>
              <w:rPr>
                <w:sz w:val="18"/>
                <w:szCs w:val="18"/>
                <w:vertAlign w:val="superscript"/>
              </w:rPr>
              <w:t xml:space="preserve">−6</w:t>
            </w:r>
            <w:r>
              <w:rPr>
                <w:sz w:val="18"/>
                <w:szCs w:val="18"/>
              </w:rPr>
              <w:t xml:space="preserve"> kJ/mol)</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peptide_only_electrostatics_equal_charge_scaling_pp_term</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PME bilinearity at the pinned grid: builder Coulomb = pp from E(s) = s²pp + s·pe + ee inside the full system, to 10</w:t>
            </w:r>
            <w:r>
              <w:rPr>
                <w:sz w:val="18"/>
                <w:szCs w:val="18"/>
                <w:vertAlign w:val="superscript"/>
              </w:rPr>
              <w:t xml:space="preserve">−4</w:t>
            </w:r>
            <w:r>
              <w:rPr>
                <w:sz w:val="18"/>
                <w:szCs w:val="18"/>
              </w:rPr>
              <w:t xml:space="preserve"> kJ/mol</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production_v_pep_minus_v_pp_is_the_pe_interaction</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production v</w:t>
            </w:r>
            <w:r>
              <w:rPr>
                <w:sz w:val="18"/>
                <w:szCs w:val="18"/>
                <w:vertAlign w:val="subscript"/>
              </w:rPr>
              <w:t xml:space="preserve">pep</w:t>
            </w:r>
            <w:r>
              <w:rPr>
                <w:sz w:val="18"/>
                <w:szCs w:val="18"/>
              </w:rPr>
              <w:t xml:space="preserve"> (partitioned copy) − V</w:t>
            </w:r>
            <w:r>
              <w:rPr>
                <w:sz w:val="18"/>
                <w:szCs w:val="18"/>
                <w:vertAlign w:val="subscript"/>
              </w:rPr>
              <w:t xml:space="preserve">pp</w:t>
            </w:r>
            <w:r>
              <w:rPr>
                <w:sz w:val="18"/>
                <w:szCs w:val="18"/>
              </w:rPr>
              <w:t xml:space="preserve"> = pe(Coulomb, charge scaling) + pe(LJ, ε scaling) + LRC difference, to 2·10</w:t>
            </w:r>
            <w:r>
              <w:rPr>
                <w:sz w:val="18"/>
                <w:szCs w:val="18"/>
                <w:vertAlign w:val="superscript"/>
              </w:rPr>
              <w:t xml:space="preserve">−3</w:t>
            </w:r>
            <w:r>
              <w:rPr>
                <w:sz w:val="18"/>
                <w:szCs w:val="18"/>
              </w:rPr>
              <w:t xml:space="preserve"> kJ/mol; |pe</w:t>
            </w:r>
            <w:r>
              <w:rPr>
                <w:sz w:val="18"/>
                <w:szCs w:val="18"/>
                <w:vertAlign w:val="subscript"/>
              </w:rPr>
              <w:t xml:space="preserve">el</w:t>
            </w:r>
            <w:r>
              <w:rPr>
                <w:sz w:val="18"/>
                <w:szCs w:val="18"/>
              </w:rPr>
              <w:t xml:space="preserve">| &gt; 1 (not vacuous)</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evaluate_sample_frames_aligns_by_step_and_later_segment_wins</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real XTCs, base + overlapping resume from step 1900 (off-multiple): energies equal direct evaluation of the resume frame; frame-less sample stays NaN; stride keeps exactly the intended samples</w:t>
            </w:r>
          </w:p>
        </w:tc>
      </w:tr>
      <w:tr>
        <w:trPr>
          <w:cantSplit/>
        </w:trPr>
        <w:tc>
          <w:tcPr>
            <w:tcW w:type="dxa" w:w="37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coupling_term_is_refused; multiple_cmap_forces_are_all_kept; epoch_source_dirs_mapping_is_explicit_or_refused; frame_alignment_oracle</w:t>
            </w:r>
          </w:p>
        </w:tc>
        <w:tc>
          <w:tcPr>
            <w:tcW w:type="dxa" w:w="589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refusals, CMAP re-indexing, ambiguous source→phase mapping refused, oracle thresholds</w:t>
            </w:r>
          </w:p>
        </w:tc>
      </w:tr>
    </w:tbl>
    <w:p>
      <w:pPr>
        <w:pStyle w:val="Heading2"/>
      </w:pPr>
      <w:r>
        <w:t xml:space="preserve">4.1 Code audits (read-only, baseline b45e6c9)</w:t>
      </w:r>
    </w:p>
    <w:p>
      <w:pPr>
        <w:spacing w:after="120"/>
      </w:pPr>
      <w:r>
        <w:rPr>
          <w:b/>
          <w:bCs/>
        </w:rPr>
        <w:t xml:space="preserve">Force inventory</w:t>
      </w:r>
      <w:r>
        <w:t xml:space="preserve"> (spec §8.1). The production System has bonds, angles, physical PME and the CMM remover in group 0 (the barostat is energy-free); </w:t>
      </w:r>
      <w:r>
        <w:rPr>
          <w:rFonts w:ascii="Consolas" w:cs="Consolas" w:eastAsia="Consolas" w:hAnsi="Consolas"/>
          <w:sz w:val="19"/>
          <w:szCs w:val="19"/>
        </w:rPr>
        <w:t xml:space="preserve">PepGaMDWaterOnlyNonbonded</w:t>
      </w:r>
      <w:r>
        <w:t xml:space="preserve"> in group 1; PeriodicTorsion and CMAP in group 2; the CV2 CustomCVForce (plus CV1 under the shared contact layout) in group 29; the split-layout CV1 umbrella in group 31. Position restraints (group 30) exist only in equilibration. The umbrella expressions are the plain harmonic terms MBAR uses, and </w:t>
      </w:r>
      <w:r>
        <w:rPr>
          <w:rFonts w:ascii="Consolas" w:cs="Consolas" w:eastAsia="Consolas" w:hAnsi="Consolas"/>
          <w:sz w:val="19"/>
          <w:szCs w:val="19"/>
        </w:rPr>
        <w:t xml:space="preserve">assign_pep_gamd_force_groups</w:t>
      </w:r>
      <w:r>
        <w:t xml:space="preserve"> rejects unexpected Custom forces in groups 0–2. Hence potential = E</w:t>
      </w:r>
      <w:r>
        <w:rPr>
          <w:vertAlign w:val="subscript"/>
        </w:rPr>
        <w:t xml:space="preserve">0</w:t>
      </w:r>
      <w:r>
        <w:t xml:space="preserve"> + E</w:t>
      </w:r>
      <w:r>
        <w:rPr>
          <w:vertAlign w:val="subscript"/>
        </w:rPr>
        <w:t xml:space="preserve">2</w:t>
      </w:r>
      <w:r>
        <w:t xml:space="preserve"> + W</w:t>
      </w:r>
      <w:r>
        <w:rPr>
          <w:vertAlign w:val="subscript"/>
        </w:rPr>
        <w:t xml:space="preserve">own</w:t>
      </w:r>
      <w:r>
        <w:t xml:space="preserve"> exactly, and U</w:t>
      </w:r>
      <w:r>
        <w:rPr>
          <w:vertAlign w:val="subscript"/>
        </w:rPr>
        <w:t xml:space="preserve">ee</w:t>
      </w:r>
      <w:r>
        <w:t xml:space="preserve"> = E</w:t>
      </w:r>
      <w:r>
        <w:rPr>
          <w:vertAlign w:val="subscript"/>
        </w:rPr>
        <w:t xml:space="preserve">1</w:t>
      </w:r>
      <w:r>
        <w:t xml:space="preserve">. One assumption is stated rather than checked: rigid TIP3P. With a flexible water model, intramolecular solvent energy would move from U</w:t>
      </w:r>
      <w:r>
        <w:rPr>
          <w:vertAlign w:val="subscript"/>
        </w:rPr>
        <w:t xml:space="preserve">ee</w:t>
      </w:r>
      <w:r>
        <w:t xml:space="preserve"> into V</w:t>
      </w:r>
      <w:r>
        <w:rPr>
          <w:vertAlign w:val="subscript"/>
        </w:rPr>
        <w:t xml:space="preserve">pep</w:t>
      </w:r>
      <w:r>
        <w:t xml:space="preserve">.</w:t>
      </w:r>
    </w:p>
    <w:p>
      <w:pPr>
        <w:spacing w:after="120"/>
      </w:pPr>
      <w:r>
        <w:rPr>
          <w:b/>
          <w:bCs/>
        </w:rPr>
        <w:t xml:space="preserve">Sample timing</w:t>
      </w:r>
      <w:r>
        <w:t xml:space="preserve"> (spec §8.2). </w:t>
      </w:r>
      <w:r>
        <w:rPr>
          <w:rFonts w:ascii="Consolas" w:cs="Consolas" w:eastAsia="Consolas" w:hAnsi="Consolas"/>
          <w:sz w:val="19"/>
          <w:szCs w:val="19"/>
        </w:rPr>
        <w:t xml:space="preserve">sample()</w:t>
      </w:r>
      <w:r>
        <w:t xml:space="preserve"> runs after </w:t>
      </w:r>
      <w:r>
        <w:rPr>
          <w:rFonts w:ascii="Consolas" w:cs="Consolas" w:eastAsia="Consolas" w:hAnsi="Consolas"/>
          <w:sz w:val="19"/>
          <w:szCs w:val="19"/>
        </w:rPr>
        <w:t xml:space="preserve">step_all(chunk)</w:t>
      </w:r>
      <w:r>
        <w:t xml:space="preserve"> and before </w:t>
      </w:r>
      <w:r>
        <w:rPr>
          <w:rFonts w:ascii="Consolas" w:cs="Consolas" w:eastAsia="Consolas" w:hAnsi="Consolas"/>
          <w:sz w:val="19"/>
          <w:szCs w:val="19"/>
        </w:rPr>
        <w:t xml:space="preserve">attempt_exchanges</w:t>
      </w:r>
      <w:r>
        <w:t xml:space="preserve">. CVs, </w:t>
      </w:r>
      <w:r>
        <w:rPr>
          <w:rFonts w:ascii="Consolas" w:cs="Consolas" w:eastAsia="Consolas" w:hAnsi="Consolas"/>
          <w:sz w:val="19"/>
          <w:szCs w:val="19"/>
        </w:rPr>
        <w:t xml:space="preserve">potential</w:t>
      </w:r>
      <w:r>
        <w:t xml:space="preserve">, </w:t>
      </w:r>
      <w:r>
        <w:rPr>
          <w:rFonts w:ascii="Consolas" w:cs="Consolas" w:eastAsia="Consolas" w:hAnsi="Consolas"/>
          <w:sz w:val="19"/>
          <w:szCs w:val="19"/>
        </w:rPr>
        <w:t xml:space="preserve">v_dih</w:t>
      </w:r>
      <w:r>
        <w:t xml:space="preserve"> and </w:t>
      </w:r>
      <w:r>
        <w:rPr>
          <w:rFonts w:ascii="Consolas" w:cs="Consolas" w:eastAsia="Consolas" w:hAnsi="Consolas"/>
          <w:sz w:val="19"/>
          <w:szCs w:val="19"/>
        </w:rPr>
        <w:t xml:space="preserve">v_pep</w:t>
      </w:r>
      <w:r>
        <w:t xml:space="preserve"> are read on one Context with no step, barostat move or swap in between, and </w:t>
      </w:r>
      <w:r>
        <w:rPr>
          <w:rFonts w:ascii="Consolas" w:cs="Consolas" w:eastAsia="Consolas" w:hAnsi="Consolas"/>
          <w:sz w:val="19"/>
          <w:szCs w:val="19"/>
        </w:rPr>
        <w:t xml:space="preserve">window_id</w:t>
      </w:r>
      <w:r>
        <w:t xml:space="preserve"> is the pre-exchange (generating) window. The per-sample channel algebra is therefore valid.</w:t>
      </w:r>
    </w:p>
    <w:p>
      <w:pPr>
        <w:spacing w:after="120"/>
      </w:pPr>
      <w:r>
        <w:rPr>
          <w:b/>
          <w:bCs/>
        </w:rPr>
        <w:t xml:space="preserve">Real-data guards</w:t>
      </w:r>
      <w:r>
        <w:t xml:space="preserve"> (chignolin_8_US): 0 negative W</w:t>
      </w:r>
      <w:r>
        <w:rPr>
          <w:vertAlign w:val="subscript"/>
        </w:rPr>
        <w:t xml:space="preserve">own</w:t>
      </w:r>
      <w:r>
        <w:t xml:space="preserve">, worst per-state median β·W</w:t>
      </w:r>
      <w:r>
        <w:rPr>
          <w:vertAlign w:val="subscript"/>
        </w:rPr>
        <w:t xml:space="preserve">own</w:t>
      </w:r>
      <w:r>
        <w:t xml:space="preserve"> = 3.1 kT (matching the run's self-bias report), 0 samples dropped, 0 unmatched frames.</w:t>
      </w:r>
    </w:p>
    <w:p>
      <w:pPr>
        <w:pStyle w:val="Heading1"/>
      </w:pPr>
      <w:r>
        <w:t xml:space="preserve">5. Results on chignolin_8_US</w:t>
      </w:r>
    </w:p>
    <w:p>
      <w:pPr>
        <w:spacing w:after="120"/>
      </w:pPr>
      <w:r>
        <w:t xml:space="preserve">Command (phase 1): </w:t>
      </w:r>
      <w:r>
        <w:rPr>
          <w:rFonts w:ascii="Consolas" w:cs="Consolas" w:eastAsia="Consolas" w:hAnsi="Consolas"/>
          <w:sz w:val="19"/>
          <w:szCs w:val="19"/>
        </w:rPr>
        <w:t xml:space="preserve">analyze_gareus_mbar.py RUNS/chignolin_8_US --analysis-source parquet --selected-method umbrella_only --thermo-basin low:0.10:0.35 --thermo-basin high:0.65:0.90</w:t>
      </w:r>
      <w:r>
        <w:t xml:space="preserve">, with the convergence, Rg, PCA, extra-observable and adaptive-diagnostic stages off. Phase 2 adds </w:t>
      </w:r>
      <w:r>
        <w:rPr>
          <w:rFonts w:ascii="Consolas" w:cs="Consolas" w:eastAsia="Consolas" w:hAnsi="Consolas"/>
          <w:sz w:val="19"/>
          <w:szCs w:val="19"/>
        </w:rPr>
        <w:t xml:space="preserve">--thermo-frames --thermo-frame-stride 10</w:t>
      </w:r>
      <w:r>
        <w:t xml:space="preserve"> and was run with </w:t>
      </w:r>
      <w:r>
        <w:rPr>
          <w:rFonts w:ascii="Consolas" w:cs="Consolas" w:eastAsia="Consolas" w:hAnsi="Consolas"/>
          <w:sz w:val="19"/>
          <w:szCs w:val="19"/>
        </w:rPr>
        <w:t xml:space="preserve">--thermo-bootstrap 100</w:t>
      </w:r>
      <w:r>
        <w:t xml:space="preserve"> on OpenCL (RTX 3060 Ti; whole analyzer ≈ 4 min). The inputs were 481,616 samples, 248 blocks and weights </w:t>
      </w:r>
      <w:r>
        <w:rPr>
          <w:rFonts w:ascii="Consolas" w:cs="Consolas" w:eastAsia="Consolas" w:hAnsi="Consolas"/>
          <w:sz w:val="19"/>
          <w:szCs w:val="19"/>
        </w:rPr>
        <w:t xml:space="preserve">mbar_unboosted</w:t>
      </w:r>
      <w:r>
        <w:t xml:space="preserve">, at T = 300 K.</w:t>
      </w:r>
    </w:p>
    <w:p>
      <w:pPr>
        <w:pStyle w:val="Heading2"/>
      </w:pPr>
      <w:r>
        <w:t xml:space="preserve">5.1 Phase 1: recorded channels, all samples</w:t>
      </w:r>
    </w:p>
    <w:p>
      <w:pPr>
        <w:keepNext/>
        <w:spacing w:after="80" w:before="160"/>
      </w:pPr>
      <w:r>
        <w:rPr>
          <w:b/>
          <w:bCs/>
          <w:sz w:val="19"/>
          <w:szCs w:val="19"/>
        </w:rPr>
        <w:t xml:space="preserve">Table 4. </w:t>
      </w:r>
      <w:r>
        <w:rPr>
          <w:sz w:val="19"/>
          <w:szCs w:val="19"/>
        </w:rPr>
        <w:t xml:space="preserve">Phase-1 basins (200 bootstrap replicates). Conditional means are absolute energies in kJ/mol ± bootstrap 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7"/>
        <w:gridCol w:w="1082"/>
        <w:gridCol w:w="885"/>
        <w:gridCol w:w="787"/>
        <w:gridCol w:w="885"/>
        <w:gridCol w:w="688"/>
        <w:gridCol w:w="1574"/>
        <w:gridCol w:w="1377"/>
        <w:gridCol w:w="1573"/>
      </w:tblGrid>
      <w:tr>
        <w:trPr>
          <w:tblHeader/>
        </w:trPr>
        <w:tc>
          <w:tcPr>
            <w:tcW w:type="dxa" w:w="787"/>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Basin</w:t>
            </w:r>
          </w:p>
        </w:tc>
        <w:tc>
          <w:tcPr>
            <w:tcW w:type="dxa" w:w="1082"/>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CV1</w:t>
            </w:r>
          </w:p>
        </w:tc>
        <w:tc>
          <w:tcPr>
            <w:tcW w:type="dxa" w:w="885"/>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Samples</w:t>
            </w:r>
          </w:p>
        </w:tc>
        <w:tc>
          <w:tcPr>
            <w:tcW w:type="dxa" w:w="787"/>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Weight</w:t>
            </w:r>
          </w:p>
        </w:tc>
        <w:tc>
          <w:tcPr>
            <w:tcW w:type="dxa" w:w="885"/>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ESS</w:t>
            </w:r>
          </w:p>
        </w:tc>
        <w:tc>
          <w:tcPr>
            <w:tcW w:type="dxa" w:w="688"/>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Blocks</w:t>
            </w:r>
          </w:p>
        </w:tc>
        <w:tc>
          <w:tcPr>
            <w:tcW w:type="dxa" w:w="1574"/>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⟨U⟩</w:t>
            </w:r>
          </w:p>
        </w:tc>
        <w:tc>
          <w:tcPr>
            <w:tcW w:type="dxa" w:w="1377"/>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⟨V</w:t>
            </w:r>
            <w:r>
              <w:rPr>
                <w:b/>
                <w:bCs/>
                <w:sz w:val="18"/>
                <w:szCs w:val="18"/>
                <w:vertAlign w:val="subscript"/>
              </w:rPr>
              <w:t xml:space="preserve">pep</w:t>
            </w:r>
            <w:r>
              <w:rPr>
                <w:b/>
                <w:bCs/>
                <w:sz w:val="18"/>
                <w:szCs w:val="18"/>
              </w:rPr>
              <w:t xml:space="preserve">⟩</w:t>
            </w:r>
          </w:p>
        </w:tc>
        <w:tc>
          <w:tcPr>
            <w:tcW w:type="dxa" w:w="1573"/>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⟨U</w:t>
            </w:r>
            <w:r>
              <w:rPr>
                <w:b/>
                <w:bCs/>
                <w:sz w:val="18"/>
                <w:szCs w:val="18"/>
                <w:vertAlign w:val="subscript"/>
              </w:rPr>
              <w:t xml:space="preserve">ee</w:t>
            </w:r>
            <w:r>
              <w:rPr>
                <w:b/>
                <w:bCs/>
                <w:sz w:val="18"/>
                <w:szCs w:val="18"/>
              </w:rPr>
              <w:t xml:space="preserve">⟩</w:t>
            </w:r>
          </w:p>
        </w:tc>
      </w:tr>
      <w:tr>
        <w:trPr>
          <w:cantSplit/>
        </w:trPr>
        <w:tc>
          <w:tcPr>
            <w:tcW w:type="dxa" w:w="78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low</w:t>
            </w:r>
          </w:p>
        </w:tc>
        <w:tc>
          <w:tcPr>
            <w:tcW w:type="dxa" w:w="108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[0.10, 0.35)</w:t>
            </w:r>
          </w:p>
        </w:tc>
        <w:tc>
          <w:tcPr>
            <w:tcW w:type="dxa" w:w="88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142,826</w:t>
            </w:r>
          </w:p>
        </w:tc>
        <w:tc>
          <w:tcPr>
            <w:tcW w:type="dxa" w:w="78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0.3559</w:t>
            </w:r>
          </w:p>
        </w:tc>
        <w:tc>
          <w:tcPr>
            <w:tcW w:type="dxa" w:w="88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131,945</w:t>
            </w:r>
          </w:p>
        </w:tc>
        <w:tc>
          <w:tcPr>
            <w:tcW w:type="dxa" w:w="68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173</w:t>
            </w:r>
          </w:p>
        </w:tc>
        <w:tc>
          <w:tcPr>
            <w:tcW w:type="dxa" w:w="157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−265432.5 ± 4.2</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−3023.3 ± 6.2</w:t>
            </w:r>
          </w:p>
        </w:tc>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−262409.2 ± 6.6</w:t>
            </w:r>
          </w:p>
        </w:tc>
      </w:tr>
      <w:tr>
        <w:trPr>
          <w:cantSplit/>
        </w:trPr>
        <w:tc>
          <w:tcPr>
            <w:tcW w:type="dxa" w:w="78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high</w:t>
            </w:r>
          </w:p>
        </w:tc>
        <w:tc>
          <w:tcPr>
            <w:tcW w:type="dxa" w:w="108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[0.65, 0.90)</w:t>
            </w:r>
          </w:p>
        </w:tc>
        <w:tc>
          <w:tcPr>
            <w:tcW w:type="dxa" w:w="88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136,236</w:t>
            </w:r>
          </w:p>
        </w:tc>
        <w:tc>
          <w:tcPr>
            <w:tcW w:type="dxa" w:w="78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0.2219</w:t>
            </w:r>
          </w:p>
        </w:tc>
        <w:tc>
          <w:tcPr>
            <w:tcW w:type="dxa" w:w="88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124,003</w:t>
            </w:r>
          </w:p>
        </w:tc>
        <w:tc>
          <w:tcPr>
            <w:tcW w:type="dxa" w:w="68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164</w:t>
            </w:r>
          </w:p>
        </w:tc>
        <w:tc>
          <w:tcPr>
            <w:tcW w:type="dxa" w:w="157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−265431.5 ± 5.1</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−2893.0 ± 10.1</w:t>
            </w:r>
          </w:p>
        </w:tc>
        <w:tc>
          <w:tcPr>
            <w:tcW w:type="dxa" w:w="157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−262538.5 ± 11.6</w:t>
            </w:r>
          </w:p>
        </w:tc>
      </w:tr>
    </w:tbl>
    <w:p>
      <w:pPr>
        <w:keepNext/>
        <w:spacing w:after="80" w:before="160"/>
      </w:pPr>
      <w:r>
        <w:rPr>
          <w:b/>
          <w:bCs/>
          <w:sz w:val="19"/>
          <w:szCs w:val="19"/>
        </w:rPr>
        <w:t xml:space="preserve">Table 5. </w:t>
      </w:r>
      <w:r>
        <w:rPr>
          <w:sz w:val="19"/>
          <w:szCs w:val="19"/>
        </w:rPr>
        <w:t xml:space="preserve">Phase-1 differences low → high (status </w:t>
      </w:r>
      <w:r>
        <w:rPr>
          <w:rFonts w:ascii="Consolas" w:cs="Consolas" w:eastAsia="Consolas" w:hAnsi="Consolas"/>
          <w:sz w:val="17"/>
          <w:szCs w:val="17"/>
        </w:rPr>
        <w:t xml:space="preserve">ok</w:t>
      </w:r>
      <w:r>
        <w:rPr>
          <w:sz w:val="19"/>
          <w:szCs w:val="19"/>
        </w:rPr>
        <w:t xml:space="preserve">). kJ/mol ± bootstrap SE, 2.5–97.5 % percentile interval; kcal/mol for the headline terms. ΔS = -0.65 J mol</w:t>
      </w:r>
      <w:r>
        <w:rPr>
          <w:sz w:val="19"/>
          <w:szCs w:val="19"/>
          <w:vertAlign w:val="superscript"/>
        </w:rPr>
        <w:t xml:space="preserve">−1</w:t>
      </w:r>
      <w:r>
        <w:rPr>
          <w:sz w:val="19"/>
          <w:szCs w:val="19"/>
        </w:rPr>
        <w:t xml:space="preserve"> K</w:t>
      </w:r>
      <w:r>
        <w:rPr>
          <w:sz w:val="19"/>
          <w:szCs w:val="19"/>
          <w:vertAlign w:val="superscript"/>
        </w:rPr>
        <w:t xml:space="preserve">−1</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2295"/>
        <w:gridCol w:w="2754"/>
        <w:gridCol w:w="2065"/>
      </w:tblGrid>
      <w:tr>
        <w:trPr>
          <w:tblHeader/>
        </w:trPr>
        <w:tc>
          <w:tcPr>
            <w:tcW w:type="dxa" w:w="2524"/>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Quantity</w:t>
            </w:r>
          </w:p>
        </w:tc>
        <w:tc>
          <w:tcPr>
            <w:tcW w:type="dxa" w:w="2295"/>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kJ/mol</w:t>
            </w:r>
          </w:p>
        </w:tc>
        <w:tc>
          <w:tcPr>
            <w:tcW w:type="dxa" w:w="2754"/>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95 % interval</w:t>
            </w:r>
          </w:p>
        </w:tc>
        <w:tc>
          <w:tcPr>
            <w:tcW w:type="dxa" w:w="2065"/>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kcal/mol</w:t>
            </w:r>
          </w:p>
        </w:tc>
      </w:tr>
      <w:tr>
        <w:trPr>
          <w:cantSplit/>
        </w:trPr>
        <w:tc>
          <w:tcPr>
            <w:tcW w:type="dxa" w:w="252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ΔG</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+1.18 ± 0.33</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[0.49, 1.81]</w:t>
            </w:r>
          </w:p>
        </w:tc>
        <w:tc>
          <w:tcPr>
            <w:tcW w:type="dxa" w:w="206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+0.28 ± 0.08</w:t>
            </w:r>
          </w:p>
        </w:tc>
      </w:tr>
      <w:tr>
        <w:trPr>
          <w:cantSplit/>
        </w:trPr>
        <w:tc>
          <w:tcPr>
            <w:tcW w:type="dxa" w:w="252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ΔH</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 ± 6.9</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[−12.2, 13.5]</w:t>
            </w:r>
          </w:p>
        </w:tc>
        <w:tc>
          <w:tcPr>
            <w:tcW w:type="dxa" w:w="206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+0.23 ± 1.65</w:t>
            </w:r>
          </w:p>
        </w:tc>
      </w:tr>
      <w:tr>
        <w:trPr>
          <w:cantSplit/>
        </w:trPr>
        <w:tc>
          <w:tcPr>
            <w:tcW w:type="dxa" w:w="252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−TΔS</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 ± 6.9</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[−12.7, 13.9]</w:t>
            </w:r>
          </w:p>
        </w:tc>
        <w:tc>
          <w:tcPr>
            <w:tcW w:type="dxa" w:w="206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+0.05 ± 1.65</w:t>
            </w:r>
          </w:p>
        </w:tc>
      </w:tr>
      <w:tr>
        <w:trPr>
          <w:cantSplit/>
        </w:trPr>
        <w:tc>
          <w:tcPr>
            <w:tcW w:type="dxa" w:w="252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ΔV</w:t>
            </w:r>
            <w:r>
              <w:rPr>
                <w:sz w:val="18"/>
                <w:szCs w:val="18"/>
                <w:vertAlign w:val="subscript"/>
              </w:rPr>
              <w:t xml:space="preserve">pep</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+130.3 ± 12.3</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[106.4, 154.8]</w:t>
            </w:r>
          </w:p>
        </w:tc>
        <w:tc>
          <w:tcPr>
            <w:tcW w:type="dxa" w:w="206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52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ΔU</w:t>
            </w:r>
            <w:r>
              <w:rPr>
                <w:sz w:val="18"/>
                <w:szCs w:val="18"/>
                <w:vertAlign w:val="subscript"/>
              </w:rPr>
              <w:t xml:space="preserve">ee</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−129.3 ± 13.4</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[−155.1, −103.5]</w:t>
            </w:r>
          </w:p>
        </w:tc>
        <w:tc>
          <w:tcPr>
            <w:tcW w:type="dxa" w:w="206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52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ΔV</w:t>
            </w:r>
            <w:r>
              <w:rPr>
                <w:sz w:val="18"/>
                <w:szCs w:val="18"/>
                <w:vertAlign w:val="subscript"/>
              </w:rPr>
              <w:t xml:space="preserve">dih</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 ± 0.8</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 2.5]</w:t>
            </w:r>
          </w:p>
        </w:tc>
        <w:tc>
          <w:tcPr>
            <w:tcW w:type="dxa" w:w="206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52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ΔV</w:t>
            </w:r>
            <w:r>
              <w:rPr>
                <w:sz w:val="18"/>
                <w:szCs w:val="18"/>
                <w:vertAlign w:val="subscript"/>
              </w:rPr>
              <w:t xml:space="preserve">nt</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+129.4 ± 12.2</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[105.6, 153.8]</w:t>
            </w:r>
          </w:p>
        </w:tc>
        <w:tc>
          <w:tcPr>
            <w:tcW w:type="dxa" w:w="206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52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−TΔS′ (derived)</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−129.1 ± 12.3</w:t>
            </w:r>
          </w:p>
        </w:tc>
        <w:tc>
          <w:tcPr>
            <w:tcW w:type="dxa" w:w="275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[−153.7, −105.0]</w:t>
            </w:r>
          </w:p>
        </w:tc>
        <w:tc>
          <w:tcPr>
            <w:tcW w:type="dxa" w:w="206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bl>
    <w:p>
      <w:pPr>
        <w:spacing w:after="120"/>
      </w:pPr>
      <w:r>
        <w:t xml:space="preserve">The flat CV1 PMF (span 2.62 kcal/mol over the whole CV1 range) is consistent with the small ΔG. ΔH is zero within error, while ΔV</w:t>
      </w:r>
      <w:r>
        <w:rPr>
          <w:vertAlign w:val="subscript"/>
        </w:rPr>
        <w:t xml:space="preserve">pep</w:t>
      </w:r>
      <w:r>
        <w:t xml:space="preserve"> and ΔU</w:t>
      </w:r>
      <w:r>
        <w:rPr>
          <w:vertAlign w:val="subscript"/>
        </w:rPr>
        <w:t xml:space="preserve">ee</w:t>
      </w:r>
      <w:r>
        <w:t xml:space="preserve"> are each about 130 kJ/mol and opposite in sign. This is the compensation §2.3 predicts, and −TΔS′ ≈ −ΔV</w:t>
      </w:r>
      <w:r>
        <w:rPr>
          <w:vertAlign w:val="subscript"/>
        </w:rPr>
        <w:t xml:space="preserve">pep</w:t>
      </w:r>
      <w:r>
        <w:t xml:space="preserve"> follows. The phase-1 block of the 100-replicate run has identical estimates but SEs about 10–15 % different (ΔH +1.0 ± 6.0 vs +1.0 ± 6.9), so the SEs themselves carry roughly that much uncertainty.</w:t>
      </w:r>
    </w:p>
    <w:p>
      <w:pPr>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095750"/>
                    </a:xfrm>
                    <a:prstGeom prst="rect">
                      <a:avLst/>
                    </a:prstGeom>
                  </pic:spPr>
                </pic:pic>
              </a:graphicData>
            </a:graphic>
          </wp:inline>
        </w:drawing>
      </w:r>
    </w:p>
    <w:p>
      <w:pPr>
        <w:keepNext w:val="false"/>
        <w:spacing w:after="80" w:before="160"/>
      </w:pPr>
      <w:r>
        <w:rPr>
          <w:b/>
          <w:bCs/>
          <w:sz w:val="19"/>
          <w:szCs w:val="19"/>
        </w:rPr>
        <w:t xml:space="preserve">Figure 1. </w:t>
      </w:r>
      <w:r>
        <w:rPr>
          <w:rFonts w:ascii="Consolas" w:cs="Consolas" w:eastAsia="Consolas" w:hAnsi="Consolas"/>
          <w:sz w:val="17"/>
          <w:szCs w:val="17"/>
        </w:rPr>
        <w:t xml:space="preserve">thermo_cv_profiles.png</w:t>
      </w:r>
      <w:r>
        <w:rPr>
          <w:sz w:val="19"/>
          <w:szCs w:val="19"/>
        </w:rPr>
        <w:t xml:space="preserve"> (phase 1, 200 replicates, 60 CV1 bins). Top: PMF (kcal/mol). Bottom: ⟨X⟩(s) − ⟨X⟩(ref) for U, V</w:t>
      </w:r>
      <w:r>
        <w:rPr>
          <w:sz w:val="19"/>
          <w:szCs w:val="19"/>
          <w:vertAlign w:val="subscript"/>
        </w:rPr>
        <w:t xml:space="preserve">pep</w:t>
      </w:r>
      <w:r>
        <w:rPr>
          <w:sz w:val="19"/>
          <w:szCs w:val="19"/>
        </w:rPr>
        <w:t xml:space="preserve">, U</w:t>
      </w:r>
      <w:r>
        <w:rPr>
          <w:sz w:val="19"/>
          <w:szCs w:val="19"/>
          <w:vertAlign w:val="subscript"/>
        </w:rPr>
        <w:t xml:space="preserve">ee</w:t>
      </w:r>
      <w:r>
        <w:rPr>
          <w:sz w:val="19"/>
          <w:szCs w:val="19"/>
        </w:rPr>
        <w:t xml:space="preserve">, V</w:t>
      </w:r>
      <w:r>
        <w:rPr>
          <w:sz w:val="19"/>
          <w:szCs w:val="19"/>
          <w:vertAlign w:val="subscript"/>
        </w:rPr>
        <w:t xml:space="preserve">dih</w:t>
      </w:r>
      <w:r>
        <w:rPr>
          <w:sz w:val="19"/>
          <w:szCs w:val="19"/>
        </w:rPr>
        <w:t xml:space="preserve"> and V</w:t>
      </w:r>
      <w:r>
        <w:rPr>
          <w:sz w:val="19"/>
          <w:szCs w:val="19"/>
          <w:vertAlign w:val="subscript"/>
        </w:rPr>
        <w:t xml:space="preserve">nt</w:t>
      </w:r>
      <w:r>
        <w:rPr>
          <w:sz w:val="19"/>
          <w:szCs w:val="19"/>
        </w:rPr>
        <w:t xml:space="preserve"> (kJ/mol, ±1 SE bands), with the reference bin at CV1 = 0.287. V</w:t>
      </w:r>
      <w:r>
        <w:rPr>
          <w:sz w:val="19"/>
          <w:szCs w:val="19"/>
          <w:vertAlign w:val="subscript"/>
        </w:rPr>
        <w:t xml:space="preserve">pep</w:t>
      </w:r>
      <w:r>
        <w:rPr>
          <w:sz w:val="19"/>
          <w:szCs w:val="19"/>
        </w:rPr>
        <w:t xml:space="preserve"> and V</w:t>
      </w:r>
      <w:r>
        <w:rPr>
          <w:sz w:val="19"/>
          <w:szCs w:val="19"/>
          <w:vertAlign w:val="subscript"/>
        </w:rPr>
        <w:t xml:space="preserve">nt</w:t>
      </w:r>
      <w:r>
        <w:rPr>
          <w:sz w:val="19"/>
          <w:szCs w:val="19"/>
        </w:rPr>
        <w:t xml:space="preserve"> overlap, since V</w:t>
      </w:r>
      <w:r>
        <w:rPr>
          <w:sz w:val="19"/>
          <w:szCs w:val="19"/>
          <w:vertAlign w:val="subscript"/>
        </w:rPr>
        <w:t xml:space="preserve">dih</w:t>
      </w:r>
      <w:r>
        <w:rPr>
          <w:sz w:val="19"/>
          <w:szCs w:val="19"/>
        </w:rPr>
        <w:t xml:space="preserve"> is flat. The phase-2 run writes the same figure from the same phase-1 channels, differing only in its bootstrap bands. No V</w:t>
      </w:r>
      <w:r>
        <w:rPr>
          <w:sz w:val="19"/>
          <w:szCs w:val="19"/>
          <w:vertAlign w:val="subscript"/>
        </w:rPr>
        <w:t xml:space="preserve">pp</w:t>
      </w:r>
      <w:r>
        <w:rPr>
          <w:sz w:val="19"/>
          <w:szCs w:val="19"/>
        </w:rPr>
        <w:t xml:space="preserve">/V</w:t>
      </w:r>
      <w:r>
        <w:rPr>
          <w:sz w:val="19"/>
          <w:szCs w:val="19"/>
          <w:vertAlign w:val="subscript"/>
        </w:rPr>
        <w:t xml:space="preserve">pe</w:t>
      </w:r>
      <w:r>
        <w:rPr>
          <w:sz w:val="19"/>
          <w:szCs w:val="19"/>
        </w:rPr>
        <w:t xml:space="preserve"> profile is plotted.</w:t>
      </w:r>
    </w:p>
    <w:p>
      <w:pPr>
        <w:spacing w:after="120"/>
      </w:pPr>
      <w:r>
        <w:t xml:space="preserve">Along CV1, V</w:t>
      </w:r>
      <w:r>
        <w:rPr>
          <w:vertAlign w:val="subscript"/>
        </w:rPr>
        <w:t xml:space="preserve">pep</w:t>
      </w:r>
      <w:r>
        <w:t xml:space="preserve"> rises and U</w:t>
      </w:r>
      <w:r>
        <w:rPr>
          <w:vertAlign w:val="subscript"/>
        </w:rPr>
        <w:t xml:space="preserve">ee</w:t>
      </w:r>
      <w:r>
        <w:t xml:space="preserve"> falls roughly symmetrically, so U stays flat within its band except at the sparsely populated edges. The torsion energy is flat over the whole range, and the change sits entirely in the non-torsional peptide terms (V</w:t>
      </w:r>
      <w:r>
        <w:rPr>
          <w:vertAlign w:val="subscript"/>
        </w:rPr>
        <w:t xml:space="preserve">nt</w:t>
      </w:r>
      <w:r>
        <w:t xml:space="preserve">).</w:t>
      </w:r>
    </w:p>
    <w:p>
      <w:pPr>
        <w:pStyle w:val="Heading2"/>
      </w:pPr>
      <w:r>
        <w:t xml:space="preserve">5.2 Phase 2: saved frames, stride 10</w:t>
      </w:r>
    </w:p>
    <w:p>
      <w:pPr>
        <w:spacing w:after="120"/>
      </w:pPr>
      <w:r>
        <w:t xml:space="preserve">The frame pass read 1,240 XTC segments (248 replicas × 5) and 481,616 frames. All were matched to a sample, and 48,112 were evaluated at stride 10. PME was pinned at α = 3.6480 nm</w:t>
      </w:r>
      <w:r>
        <w:rPr>
          <w:vertAlign w:val="superscript"/>
        </w:rPr>
        <w:t xml:space="preserve">−1</w:t>
      </w:r>
      <w:r>
        <w:t xml:space="preserve"> with a 90³ grid, and there were 18 backbone torsions (ψ-Gly1 … φ-Gly10) at 24 bins each. The phase-2 block is one </w:t>
      </w:r>
      <w:r>
        <w:rPr>
          <w:rFonts w:ascii="Consolas" w:cs="Consolas" w:eastAsia="Consolas" w:hAnsi="Consolas"/>
          <w:sz w:val="19"/>
          <w:szCs w:val="19"/>
        </w:rPr>
        <w:t xml:space="preserve">compute_thermo</w:t>
      </w:r>
      <w:r>
        <w:t xml:space="preserve"> call on the 48,112 samples that have frames. Its </w:t>
      </w:r>
      <w:r>
        <w:rPr>
          <w:rFonts w:ascii="Consolas" w:cs="Consolas" w:eastAsia="Consolas" w:hAnsi="Consolas"/>
          <w:sz w:val="19"/>
          <w:szCs w:val="19"/>
        </w:rPr>
        <w:t xml:space="preserve">n_dropped_nonfinite</w:t>
      </w:r>
      <w:r>
        <w:t xml:space="preserve"> = 433,504 counts samples without an evaluated frame at stride 10, not lost data. Every phase-2 quantity describes this one population with one paired bootstrap (100 replicates). The phase-1 and phase-2 blocks are separate populations: compare them side by side, but do not subtract across them.</w:t>
      </w:r>
    </w:p>
    <w:p>
      <w:pPr>
        <w:keepNext/>
        <w:spacing w:after="80" w:before="160"/>
      </w:pPr>
      <w:r>
        <w:rPr>
          <w:b/>
          <w:bCs/>
          <w:sz w:val="19"/>
          <w:szCs w:val="19"/>
        </w:rPr>
        <w:t xml:space="preserve">Table 6. </w:t>
      </w:r>
      <w:r>
        <w:rPr>
          <w:sz w:val="19"/>
          <w:szCs w:val="19"/>
        </w:rPr>
        <w:t xml:space="preserve">Phase-2 basins (frame subset). S/k is the torsion entropy without the bin-width constant (only differences are meaningful).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923"/>
        <w:gridCol w:w="820"/>
        <w:gridCol w:w="923"/>
        <w:gridCol w:w="718"/>
        <w:gridCol w:w="820"/>
        <w:gridCol w:w="820"/>
        <w:gridCol w:w="820"/>
        <w:gridCol w:w="1435"/>
        <w:gridCol w:w="1539"/>
      </w:tblGrid>
      <w:tr>
        <w:trPr>
          <w:tblHeader/>
        </w:trPr>
        <w:tc>
          <w:tcPr>
            <w:tcW w:type="dxa" w:w="820"/>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Basin</w:t>
            </w:r>
          </w:p>
        </w:tc>
        <w:tc>
          <w:tcPr>
            <w:tcW w:type="dxa" w:w="923"/>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Samples</w:t>
            </w:r>
          </w:p>
        </w:tc>
        <w:tc>
          <w:tcPr>
            <w:tcW w:type="dxa" w:w="820"/>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Weight</w:t>
            </w:r>
          </w:p>
        </w:tc>
        <w:tc>
          <w:tcPr>
            <w:tcW w:type="dxa" w:w="923"/>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ESS</w:t>
            </w:r>
          </w:p>
        </w:tc>
        <w:tc>
          <w:tcPr>
            <w:tcW w:type="dxa" w:w="718"/>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Blocks</w:t>
            </w:r>
          </w:p>
        </w:tc>
        <w:tc>
          <w:tcPr>
            <w:tcW w:type="dxa" w:w="820"/>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S</w:t>
            </w:r>
            <w:r>
              <w:rPr>
                <w:b/>
                <w:bCs/>
                <w:sz w:val="18"/>
                <w:szCs w:val="18"/>
                <w:vertAlign w:val="subscript"/>
              </w:rPr>
              <w:t xml:space="preserve">1</w:t>
            </w:r>
            <w:r>
              <w:rPr>
                <w:b/>
                <w:bCs/>
                <w:sz w:val="18"/>
                <w:szCs w:val="18"/>
              </w:rPr>
              <w:t xml:space="preserve">/k</w:t>
            </w:r>
          </w:p>
        </w:tc>
        <w:tc>
          <w:tcPr>
            <w:tcW w:type="dxa" w:w="820"/>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ΣI/k</w:t>
            </w:r>
          </w:p>
        </w:tc>
        <w:tc>
          <w:tcPr>
            <w:tcW w:type="dxa" w:w="820"/>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S</w:t>
            </w:r>
            <w:r>
              <w:rPr>
                <w:b/>
                <w:bCs/>
                <w:sz w:val="18"/>
                <w:szCs w:val="18"/>
                <w:vertAlign w:val="subscript"/>
              </w:rPr>
              <w:t xml:space="preserve">2</w:t>
            </w:r>
            <w:r>
              <w:rPr>
                <w:b/>
                <w:bCs/>
                <w:sz w:val="18"/>
                <w:szCs w:val="18"/>
              </w:rPr>
              <w:t xml:space="preserve">/k</w:t>
            </w:r>
          </w:p>
        </w:tc>
        <w:tc>
          <w:tcPr>
            <w:tcW w:type="dxa" w:w="1435"/>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⟨V</w:t>
            </w:r>
            <w:r>
              <w:rPr>
                <w:b/>
                <w:bCs/>
                <w:sz w:val="18"/>
                <w:szCs w:val="18"/>
                <w:vertAlign w:val="subscript"/>
              </w:rPr>
              <w:t xml:space="preserve">pp</w:t>
            </w:r>
            <w:r>
              <w:rPr>
                <w:b/>
                <w:bCs/>
                <w:sz w:val="18"/>
                <w:szCs w:val="18"/>
              </w:rPr>
              <w:t xml:space="preserve">⟩</w:t>
            </w:r>
          </w:p>
        </w:tc>
        <w:tc>
          <w:tcPr>
            <w:tcW w:type="dxa" w:w="1539"/>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⟨V</w:t>
            </w:r>
            <w:r>
              <w:rPr>
                <w:b/>
                <w:bCs/>
                <w:sz w:val="18"/>
                <w:szCs w:val="18"/>
                <w:vertAlign w:val="subscript"/>
              </w:rPr>
              <w:t xml:space="preserve">pe</w:t>
            </w:r>
            <w:r>
              <w:rPr>
                <w:b/>
                <w:bCs/>
                <w:sz w:val="18"/>
                <w:szCs w:val="18"/>
              </w:rPr>
              <w:t xml:space="preserve">⟩</w:t>
            </w:r>
          </w:p>
        </w:tc>
      </w:tr>
      <w:tr>
        <w:trPr>
          <w:cantSplit/>
        </w:trPr>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low</w:t>
            </w:r>
          </w:p>
        </w:tc>
        <w:tc>
          <w:tcPr>
            <w:tcW w:type="dxa" w:w="9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14,256</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0.3551</w:t>
            </w:r>
          </w:p>
        </w:tc>
        <w:tc>
          <w:tcPr>
            <w:tcW w:type="dxa" w:w="9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13,165</w:t>
            </w:r>
          </w:p>
        </w:tc>
        <w:tc>
          <w:tcPr>
            <w:tcW w:type="dxa" w:w="71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161</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40.13</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8.47</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31.66</w:t>
            </w:r>
          </w:p>
        </w:tc>
        <w:tc>
          <w:tcPr>
            <w:tcW w:type="dxa" w:w="14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299.8 ± 6.5</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−3323.2 ± 12.9</w:t>
            </w:r>
          </w:p>
        </w:tc>
      </w:tr>
      <w:tr>
        <w:trPr>
          <w:cantSplit/>
        </w:trPr>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high</w:t>
            </w:r>
          </w:p>
        </w:tc>
        <w:tc>
          <w:tcPr>
            <w:tcW w:type="dxa" w:w="9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13,612</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0.2216</w:t>
            </w:r>
          </w:p>
        </w:tc>
        <w:tc>
          <w:tcPr>
            <w:tcW w:type="dxa" w:w="9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12,390</w:t>
            </w:r>
          </w:p>
        </w:tc>
        <w:tc>
          <w:tcPr>
            <w:tcW w:type="dxa" w:w="71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160</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41.38</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13.77</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27.61</w:t>
            </w:r>
          </w:p>
        </w:tc>
        <w:tc>
          <w:tcPr>
            <w:tcW w:type="dxa" w:w="143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145.5 ± 10.4</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−3038.8 ± 20.4</w:t>
            </w:r>
          </w:p>
        </w:tc>
      </w:tr>
    </w:tbl>
    <w:p>
      <w:pPr>
        <w:keepNext/>
        <w:spacing w:after="80" w:before="160"/>
      </w:pPr>
      <w:r>
        <w:rPr>
          <w:b/>
          <w:bCs/>
          <w:sz w:val="19"/>
          <w:szCs w:val="19"/>
        </w:rPr>
        <w:t xml:space="preserve">Table 7. </w:t>
      </w:r>
      <w:r>
        <w:rPr>
          <w:sz w:val="19"/>
          <w:szCs w:val="19"/>
        </w:rPr>
        <w:t xml:space="preserve">Phase-2 differences low → high (status </w:t>
      </w:r>
      <w:r>
        <w:rPr>
          <w:rFonts w:ascii="Consolas" w:cs="Consolas" w:eastAsia="Consolas" w:hAnsi="Consolas"/>
          <w:sz w:val="17"/>
          <w:szCs w:val="17"/>
        </w:rPr>
        <w:t xml:space="preserve">ok</w:t>
      </w:r>
      <w:r>
        <w:rPr>
          <w:sz w:val="19"/>
          <w:szCs w:val="19"/>
        </w:rPr>
        <w:t xml:space="preserve">, 100 replicates). kJ/mol ± SE; ΔS = 3.97 J mol</w:t>
      </w:r>
      <w:r>
        <w:rPr>
          <w:sz w:val="19"/>
          <w:szCs w:val="19"/>
          <w:vertAlign w:val="superscript"/>
        </w:rPr>
        <w:t xml:space="preserve">−1</w:t>
      </w:r>
      <w:r>
        <w:rPr>
          <w:sz w:val="19"/>
          <w:szCs w:val="19"/>
        </w:rPr>
        <w:t xml:space="preserve"> K</w:t>
      </w:r>
      <w:r>
        <w:rPr>
          <w:sz w:val="19"/>
          <w:szCs w:val="19"/>
          <w:vertAlign w:val="superscript"/>
        </w:rPr>
        <w:t xml:space="preserve">−1</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4"/>
        <w:gridCol w:w="2241"/>
        <w:gridCol w:w="2690"/>
        <w:gridCol w:w="1793"/>
      </w:tblGrid>
      <w:tr>
        <w:trPr>
          <w:tblHeader/>
        </w:trPr>
        <w:tc>
          <w:tcPr>
            <w:tcW w:type="dxa" w:w="2914"/>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Quantity</w:t>
            </w:r>
          </w:p>
        </w:tc>
        <w:tc>
          <w:tcPr>
            <w:tcW w:type="dxa" w:w="2241"/>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kJ/mol</w:t>
            </w:r>
          </w:p>
        </w:tc>
        <w:tc>
          <w:tcPr>
            <w:tcW w:type="dxa" w:w="2690"/>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95 % interval</w:t>
            </w:r>
          </w:p>
        </w:tc>
        <w:tc>
          <w:tcPr>
            <w:tcW w:type="dxa" w:w="1793"/>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kcal/mol</w:t>
            </w: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ΔG</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+1.18 ± 0.35</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[0.39, 1.79]</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+0.28 ± 0.08</w:t>
            </w: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ΔH</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+2.4 ± 6.8</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[−7.7, 14.1]</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+0.57 ± 1.62</w:t>
            </w: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−TΔS</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 ± 6.8</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[−12.9, 8.7]</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−0.28 ± 1.63</w:t>
            </w: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ΔV</w:t>
            </w:r>
            <w:r>
              <w:rPr>
                <w:sz w:val="18"/>
                <w:szCs w:val="18"/>
                <w:vertAlign w:val="subscript"/>
              </w:rPr>
              <w:t xml:space="preserve">pep</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+130.2 ± 12.8</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[104.8, 154.1]</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ΔV</w:t>
            </w:r>
            <w:r>
              <w:rPr>
                <w:sz w:val="18"/>
                <w:szCs w:val="18"/>
                <w:vertAlign w:val="subscript"/>
              </w:rPr>
              <w:t xml:space="preserve">pp</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−154.3 ± 13.0</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[−177.0, −128.2]</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   of which NB</w:t>
            </w:r>
            <w:r>
              <w:rPr>
                <w:sz w:val="18"/>
                <w:szCs w:val="18"/>
                <w:vertAlign w:val="subscript"/>
              </w:rPr>
              <w:t xml:space="preserve">pp</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−165.1 ± 13.1</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[−187.9, −138.3]</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   of which bonded</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+9.7 ± 1.1</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[7.6, 12.3]</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   of which torsion (ΔV</w:t>
            </w:r>
            <w:r>
              <w:rPr>
                <w:sz w:val="18"/>
                <w:szCs w:val="18"/>
                <w:vertAlign w:val="subscript"/>
              </w:rPr>
              <w:t xml:space="preserve">dih</w:t>
            </w:r>
            <w:r>
              <w:rPr>
                <w:sz w:val="18"/>
                <w:szCs w:val="18"/>
              </w:rPr>
              <w:t xml:space="preserve">)</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+1.1 ± 0.9</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 2.6]</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ΔV</w:t>
            </w:r>
            <w:r>
              <w:rPr>
                <w:sz w:val="18"/>
                <w:szCs w:val="18"/>
                <w:vertAlign w:val="subscript"/>
              </w:rPr>
              <w:t xml:space="preserve">pe</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+284.5 ± 25.6</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[235.2, 330.4]</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ΔU</w:t>
            </w:r>
            <w:r>
              <w:rPr>
                <w:sz w:val="18"/>
                <w:szCs w:val="18"/>
                <w:vertAlign w:val="subscript"/>
              </w:rPr>
              <w:t xml:space="preserve">ee</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−127.8 ± 14.2</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[−153.4, −96.5]</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−TΔS′ (derived)</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−129.0 ± 12.8</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[−153.1, −103.3]</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TΔS</w:t>
            </w:r>
            <w:r>
              <w:rPr>
                <w:sz w:val="18"/>
                <w:szCs w:val="18"/>
                <w:vertAlign w:val="subscript"/>
              </w:rPr>
              <w:t xml:space="preserve">conf</w:t>
            </w:r>
            <w:r>
              <w:rPr>
                <w:sz w:val="18"/>
                <w:szCs w:val="18"/>
              </w:rPr>
              <w:t xml:space="preserve">, MIE-1</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+3.1 ± 0.8</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 4.4]</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TΔS</w:t>
            </w:r>
            <w:r>
              <w:rPr>
                <w:sz w:val="18"/>
                <w:szCs w:val="18"/>
                <w:vertAlign w:val="subscript"/>
              </w:rPr>
              <w:t xml:space="preserve">conf</w:t>
            </w:r>
            <w:r>
              <w:rPr>
                <w:sz w:val="18"/>
                <w:szCs w:val="18"/>
              </w:rPr>
              <w:t xml:space="preserve">, MIE-2</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−10.1 ± 3.2</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[−18.2, −6.9]</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−TΔS</w:t>
            </w:r>
            <w:r>
              <w:rPr>
                <w:sz w:val="18"/>
                <w:szCs w:val="18"/>
                <w:vertAlign w:val="subscript"/>
              </w:rPr>
              <w:t xml:space="preserve">solv</w:t>
            </w:r>
            <w:r>
              <w:rPr>
                <w:sz w:val="18"/>
                <w:szCs w:val="18"/>
              </w:rPr>
              <w:t xml:space="preserve"> (MIE-2)</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−11.3 ± 7.1</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[−26.3, −0.2]</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r>
        <w:trPr>
          <w:cantSplit/>
        </w:trPr>
        <w:tc>
          <w:tcPr>
            <w:tcW w:type="dxa" w:w="29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−TΔS′</w:t>
            </w:r>
            <w:r>
              <w:rPr>
                <w:sz w:val="18"/>
                <w:szCs w:val="18"/>
                <w:vertAlign w:val="subscript"/>
              </w:rPr>
              <w:t xml:space="preserve">solv</w:t>
            </w:r>
            <w:r>
              <w:rPr>
                <w:sz w:val="18"/>
                <w:szCs w:val="18"/>
              </w:rPr>
              <w:t xml:space="preserve"> (MIE-2)</w:t>
            </w:r>
          </w:p>
        </w:tc>
        <w:tc>
          <w:tcPr>
            <w:tcW w:type="dxa" w:w="224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−139.1 ± 13.4</w:t>
            </w:r>
          </w:p>
        </w:tc>
        <w:tc>
          <w:tcPr>
            <w:tcW w:type="dxa" w:w="269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[−167.6, −112.5]</w:t>
            </w:r>
          </w:p>
        </w:tc>
        <w:tc>
          <w:tcPr>
            <w:tcW w:type="dxa" w:w="179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r>
    </w:tbl>
    <w:p>
      <w:pPr>
        <w:pStyle w:val="Heading2"/>
      </w:pPr>
      <w:r>
        <w:t xml:space="preserve">5.3 Interpretation</w:t>
      </w:r>
    </w:p>
    <w:p>
      <w:pPr>
        <w:pStyle w:val="ListParagraph"/>
        <w:numPr>
          <w:ilvl w:val="0"/>
          <w:numId w:val="2"/>
        </w:numPr>
        <w:spacing w:after="60"/>
      </w:pPr>
      <w:r>
        <w:rPr>
          <w:b/>
          <w:bCs/>
        </w:rPr>
        <w:t xml:space="preserve">Energy bookkeeping.</w:t>
      </w:r>
      <w:r>
        <w:t xml:space="preserve"> Forming contacts trades peptide–environment interactions (ΔV</w:t>
      </w:r>
      <w:r>
        <w:rPr>
          <w:vertAlign w:val="subscript"/>
        </w:rPr>
        <w:t xml:space="preserve">pe</w:t>
      </w:r>
      <w:r>
        <w:t xml:space="preserve"> = +284.5) for peptide–peptide (ΔV</w:t>
      </w:r>
      <w:r>
        <w:rPr>
          <w:vertAlign w:val="subscript"/>
        </w:rPr>
        <w:t xml:space="preserve">pp</w:t>
      </w:r>
      <w:r>
        <w:t xml:space="preserve"> = −154.3, almost all nonbonded: NB</w:t>
      </w:r>
      <w:r>
        <w:rPr>
          <w:vertAlign w:val="subscript"/>
        </w:rPr>
        <w:t xml:space="preserve">pp</w:t>
      </w:r>
      <w:r>
        <w:t xml:space="preserve"> −165.1, bonded +9.7) and water–water (ΔU</w:t>
      </w:r>
      <w:r>
        <w:rPr>
          <w:vertAlign w:val="subscript"/>
        </w:rPr>
        <w:t xml:space="preserve">ee</w:t>
      </w:r>
      <w:r>
        <w:t xml:space="preserve"> = −127.8) interactions. ΔH nets to +2.4 ± 6.8 kJ/mol, i.e. zero.</w:t>
      </w:r>
    </w:p>
    <w:p>
      <w:pPr>
        <w:pStyle w:val="ListParagraph"/>
        <w:numPr>
          <w:ilvl w:val="0"/>
          <w:numId w:val="2"/>
        </w:numPr>
        <w:spacing w:after="60"/>
      </w:pPr>
      <w:r>
        <w:rPr>
          <w:b/>
          <w:bCs/>
        </w:rPr>
        <w:t xml:space="preserve">Backbone entropy.</w:t>
      </w:r>
      <w:r>
        <w:t xml:space="preserve"> TΔS</w:t>
      </w:r>
      <w:r>
        <w:rPr>
          <w:vertAlign w:val="subscript"/>
        </w:rPr>
        <w:t xml:space="preserve">conf</w:t>
      </w:r>
      <w:r>
        <w:t xml:space="preserve"> is +3.1 at MIE-1 and −10.1 at MIE-2. The high-contact basin has slightly broader marginals (S</w:t>
      </w:r>
      <w:r>
        <w:rPr>
          <w:vertAlign w:val="subscript"/>
        </w:rPr>
        <w:t xml:space="preserve">1</w:t>
      </w:r>
      <w:r>
        <w:t xml:space="preserve">/k 41.38 vs 40.13) but much stronger torsion correlations (ΣI/k 13.77 vs 8.47). Because the sign flips between orders, the second-order term is essential, and higher orders may still matter (§6.1).</w:t>
      </w:r>
    </w:p>
    <w:p>
      <w:pPr>
        <w:pStyle w:val="ListParagraph"/>
        <w:numPr>
          <w:ilvl w:val="0"/>
          <w:numId w:val="2"/>
        </w:numPr>
        <w:spacing w:after="60"/>
      </w:pPr>
      <w:r>
        <w:rPr>
          <w:b/>
          <w:bCs/>
        </w:rPr>
        <w:t xml:space="preserve">Solvent entropy.</w:t>
      </w:r>
      <w:r>
        <w:t xml:space="preserve"> By difference, −TΔS</w:t>
      </w:r>
      <w:r>
        <w:rPr>
          <w:vertAlign w:val="subscript"/>
        </w:rPr>
        <w:t xml:space="preserve">solv</w:t>
      </w:r>
      <w:r>
        <w:t xml:space="preserve"> = −11.3 ± 7.1 kJ/mol, i.e. the non-backbone entropy rises by about as much as the backbone entropy falls. This is a hydrophobic-like signature, but only at 1.6σ; the percentile interval [−26.3, −0.2] only just excludes zero.</w:t>
      </w:r>
    </w:p>
    <w:p>
      <w:pPr>
        <w:pStyle w:val="ListParagraph"/>
        <w:numPr>
          <w:ilvl w:val="0"/>
          <w:numId w:val="2"/>
        </w:numPr>
        <w:spacing w:after="60"/>
      </w:pPr>
      <w:r>
        <w:rPr>
          <w:b/>
          <w:bCs/>
        </w:rPr>
        <w:t xml:space="preserve">Closure (exact by construction).</w:t>
      </w:r>
      <w:r>
        <w:t xml:space="preserve"> ΔG = ΔV</w:t>
      </w:r>
      <w:r>
        <w:rPr>
          <w:vertAlign w:val="subscript"/>
        </w:rPr>
        <w:t xml:space="preserve">pp</w:t>
      </w:r>
      <w:r>
        <w:t xml:space="preserve"> + ΔV</w:t>
      </w:r>
      <w:r>
        <w:rPr>
          <w:vertAlign w:val="subscript"/>
        </w:rPr>
        <w:t xml:space="preserve">pe</w:t>
      </w:r>
      <w:r>
        <w:t xml:space="preserve"> − TΔS</w:t>
      </w:r>
      <w:r>
        <w:rPr>
          <w:vertAlign w:val="subscript"/>
        </w:rPr>
        <w:t xml:space="preserve">conf</w:t>
      </w:r>
      <w:r>
        <w:t xml:space="preserve"> − TΔS′</w:t>
      </w:r>
      <w:r>
        <w:rPr>
          <w:vertAlign w:val="subscript"/>
        </w:rPr>
        <w:t xml:space="preserve">solv</w:t>
      </w:r>
      <w:r>
        <w:t xml:space="preserve">: −154.3 +284.5 +10.1 −139.1 = +1.18 kJ/mol (= ΔG). The large −TΔS′</w:t>
      </w:r>
      <w:r>
        <w:rPr>
          <w:vertAlign w:val="subscript"/>
        </w:rPr>
        <w:t xml:space="preserve">solv</w:t>
      </w:r>
      <w:r>
        <w:t xml:space="preserve"> is the uncompensated solvation entropy that offsets the peptide–environment energy loss. Component "free energies" are not unique, so the terms are an energy/entropy accounting, not separate state functions.</w:t>
      </w:r>
    </w:p>
    <w:p>
      <w:pPr>
        <w:pStyle w:val="ListParagraph"/>
        <w:numPr>
          <w:ilvl w:val="0"/>
          <w:numId w:val="2"/>
        </w:numPr>
        <w:spacing w:after="60"/>
      </w:pPr>
      <w:r>
        <w:rPr>
          <w:b/>
          <w:bCs/>
        </w:rPr>
        <w:t xml:space="preserve">MI estimator bias (derived).</w:t>
      </w:r>
      <w:r>
        <w:t xml:space="preserve"> Histogram MI is biased upward by ≈ (cells − 1)/(2·ESS) per pair. With 24² cells, C(18,2) = 153 pairs and ESS 13,165 / 12,390, the summed bias is ≈ 3.3 / 3.6 nats. It largely cancels in the difference (≈ 0.21 nats ≈ 0.5 kJ/mol), because the basin ESS values are similar.</w:t>
      </w:r>
    </w:p>
    <w:p>
      <w:pPr>
        <w:pStyle w:val="Heading1"/>
      </w:pPr>
      <w:r>
        <w:t xml:space="preserve">6. Limitations and what is not reachable</w:t>
      </w:r>
    </w:p>
    <w:p>
      <w:pPr>
        <w:pStyle w:val="ListParagraph"/>
        <w:numPr>
          <w:ilvl w:val="0"/>
          <w:numId w:val="2"/>
        </w:numPr>
        <w:spacing w:after="60"/>
      </w:pPr>
      <w:r>
        <w:rPr>
          <w:b/>
          <w:bCs/>
        </w:rPr>
        <w:t xml:space="preserve">LRA electrostatic solvation</w:t>
      </w:r>
      <w:r>
        <w:t xml:space="preserve"> (ΔG</w:t>
      </w:r>
      <w:r>
        <w:rPr>
          <w:vertAlign w:val="subscript"/>
        </w:rPr>
        <w:t xml:space="preserve">solv,el</w:t>
      </w:r>
      <w:r>
        <w:t xml:space="preserve"> ≈ ½Δ⟨U</w:t>
      </w:r>
      <w:r>
        <w:rPr>
          <w:vertAlign w:val="subscript"/>
        </w:rPr>
        <w:t xml:space="preserve">pe,el</w:t>
      </w:r>
      <w:r>
        <w:t xml:space="preserve">⟩) needs the Coulomb part of U</w:t>
      </w:r>
      <w:r>
        <w:rPr>
          <w:vertAlign w:val="subscript"/>
        </w:rPr>
        <w:t xml:space="preserve">pe</w:t>
      </w:r>
      <w:r>
        <w:t xml:space="preserve"> alone. V</w:t>
      </w:r>
      <w:r>
        <w:rPr>
          <w:vertAlign w:val="subscript"/>
        </w:rPr>
        <w:t xml:space="preserve">pe</w:t>
      </w:r>
      <w:r>
        <w:t xml:space="preserve"> from solute frames is Coulomb + LJ + dispersion-correction difference, so the estimate is reported as </w:t>
      </w:r>
      <w:r>
        <w:rPr>
          <w:rFonts w:ascii="Consolas" w:cs="Consolas" w:eastAsia="Consolas" w:hAnsi="Consolas"/>
          <w:sz w:val="19"/>
          <w:szCs w:val="19"/>
        </w:rPr>
        <w:t xml:space="preserve">available: false</w:t>
      </w:r>
      <w:r>
        <w:t xml:space="preserve"> with that reason.</w:t>
      </w:r>
    </w:p>
    <w:p>
      <w:pPr>
        <w:pStyle w:val="ListParagraph"/>
        <w:numPr>
          <w:ilvl w:val="0"/>
          <w:numId w:val="2"/>
        </w:numPr>
        <w:spacing w:after="60"/>
      </w:pPr>
      <w:r>
        <w:rPr>
          <w:b/>
          <w:bCs/>
        </w:rPr>
        <w:t xml:space="preserve">ΔC</w:t>
      </w:r>
      <w:r>
        <w:rPr>
          <w:vertAlign w:val="subscript"/>
        </w:rPr>
        <w:t xml:space="preserve">p</w:t>
      </w:r>
      <w:r>
        <w:t xml:space="preserve"> needs several temperatures. </w:t>
      </w:r>
      <w:r>
        <w:rPr>
          <w:b/>
          <w:bCs/>
        </w:rPr>
        <w:t xml:space="preserve">GIST/2PT</w:t>
      </w:r>
      <w:r>
        <w:t xml:space="preserve"> and </w:t>
      </w:r>
      <w:r>
        <w:rPr>
          <w:b/>
          <w:bCs/>
        </w:rPr>
        <w:t xml:space="preserve">per-residue pe</w:t>
      </w:r>
      <w:r>
        <w:t xml:space="preserve"> need solvent coordinates, and chignolin_9 writes </w:t>
      </w:r>
      <w:r>
        <w:rPr>
          <w:rFonts w:ascii="Consolas" w:cs="Consolas" w:eastAsia="Consolas" w:hAnsi="Consolas"/>
          <w:sz w:val="19"/>
          <w:szCs w:val="19"/>
        </w:rPr>
        <w:t xml:space="preserve">traj_solute_only: true</w:t>
      </w:r>
      <w:r>
        <w:t xml:space="preserve">.</w:t>
      </w:r>
    </w:p>
    <w:p>
      <w:pPr>
        <w:pStyle w:val="ListParagraph"/>
        <w:numPr>
          <w:ilvl w:val="0"/>
          <w:numId w:val="2"/>
        </w:numPr>
        <w:spacing w:after="60"/>
      </w:pPr>
      <w:r>
        <w:rPr>
          <w:b/>
          <w:bCs/>
        </w:rPr>
        <w:t xml:space="preserve">Entropy estimator:</w:t>
      </w:r>
      <w:r>
        <w:t xml:space="preserve"> histogram MI is biased (low entropies, high MI) at small ESS, and the analysis is backbone-only (side chains, bond/angle vibrations and MI orders &gt; 2 end up in "solvent"). MIE-1 and MIE-2 disagree in sign here.</w:t>
      </w:r>
    </w:p>
    <w:p>
      <w:pPr>
        <w:pStyle w:val="ListParagraph"/>
        <w:numPr>
          <w:ilvl w:val="0"/>
          <w:numId w:val="2"/>
        </w:numPr>
        <w:spacing w:after="60"/>
      </w:pPr>
      <w:r>
        <w:rPr>
          <w:b/>
          <w:bCs/>
        </w:rPr>
        <w:t xml:space="preserve">Bootstrap:</w:t>
      </w:r>
      <w:r>
        <w:t xml:space="preserve"> fixed-f</w:t>
      </w:r>
      <w:r>
        <w:rPr>
          <w:vertAlign w:val="subscript"/>
        </w:rPr>
        <w:t xml:space="preserve">k</w:t>
      </w:r>
      <w:r>
        <w:t xml:space="preserve">, so it ignores f</w:t>
      </w:r>
      <w:r>
        <w:rPr>
          <w:vertAlign w:val="subscript"/>
        </w:rPr>
        <w:t xml:space="preserve">k</w:t>
      </w:r>
      <w:r>
        <w:t xml:space="preserve"> uncertainty, as </w:t>
      </w:r>
      <w:r>
        <w:rPr>
          <w:rFonts w:ascii="Consolas" w:cs="Consolas" w:eastAsia="Consolas" w:hAnsi="Consolas"/>
          <w:sz w:val="19"/>
          <w:szCs w:val="19"/>
        </w:rPr>
        <w:t xml:space="preserve">--pmf-uncertainty</w:t>
      </w:r>
      <w:r>
        <w:t xml:space="preserve"> does. Blocks are replica × phase.</w:t>
      </w:r>
    </w:p>
    <w:p>
      <w:pPr>
        <w:pStyle w:val="ListParagraph"/>
        <w:numPr>
          <w:ilvl w:val="0"/>
          <w:numId w:val="2"/>
        </w:numPr>
        <w:spacing w:after="60"/>
      </w:pPr>
      <w:r>
        <w:rPr>
          <w:b/>
          <w:bCs/>
        </w:rPr>
        <w:t xml:space="preserve">Precision:</w:t>
      </w:r>
      <w:r>
        <w:t xml:space="preserve"> σ(U) ≈ 500 kJ/mol per sample, so ΔH to ±5 kJ/mol needs ~2·10</w:t>
      </w:r>
      <w:r>
        <w:rPr>
          <w:vertAlign w:val="superscript"/>
        </w:rPr>
        <w:t xml:space="preserve">4</w:t>
      </w:r>
      <w:r>
        <w:t xml:space="preserve"> effectively independent samples per basin. Peptide-only channels (σ ≈ 140) converge ~13× faster than U</w:t>
      </w:r>
      <w:r>
        <w:rPr>
          <w:vertAlign w:val="subscript"/>
        </w:rPr>
        <w:t xml:space="preserve">ee</w:t>
      </w:r>
      <w:r>
        <w:t xml:space="preserve">.</w:t>
      </w:r>
    </w:p>
    <w:p>
      <w:pPr>
        <w:pStyle w:val="ListParagraph"/>
        <w:numPr>
          <w:ilvl w:val="0"/>
          <w:numId w:val="2"/>
        </w:numPr>
        <w:spacing w:after="60"/>
      </w:pPr>
      <w:r>
        <w:rPr>
          <w:b/>
          <w:bCs/>
        </w:rPr>
        <w:t xml:space="preserve">Physics caveats:</w:t>
      </w:r>
      <w:r>
        <w:t xml:space="preserve"> V</w:t>
      </w:r>
      <w:r>
        <w:rPr>
          <w:vertAlign w:val="subscript"/>
        </w:rPr>
        <w:t xml:space="preserve">pep</w:t>
      </w:r>
      <w:r>
        <w:t xml:space="preserve"> carries the difference of two dispersion corrections, which is volume-dependent under NPT, and U</w:t>
      </w:r>
      <w:r>
        <w:rPr>
          <w:vertAlign w:val="subscript"/>
        </w:rPr>
        <w:t xml:space="preserve">ee</w:t>
      </w:r>
      <w:r>
        <w:t xml:space="preserve"> includes ions. ff14SB/TIP3P enthalpies and entropies are qualitative against experiment (TIP3P heat capacity and temperature response are off), so relative trends are the robust output. Rigid water is assumed.</w:t>
      </w:r>
    </w:p>
    <w:p>
      <w:pPr>
        <w:pStyle w:val="ListParagraph"/>
        <w:numPr>
          <w:ilvl w:val="0"/>
          <w:numId w:val="2"/>
        </w:numPr>
        <w:spacing w:after="60"/>
      </w:pPr>
      <w:r>
        <w:rPr>
          <w:b/>
          <w:bCs/>
        </w:rPr>
        <w:t xml:space="preserve">Scope:</w:t>
      </w:r>
      <w:r>
        <w:t xml:space="preserve"> the output is report-only and does not change the health verdict. Only ΔG is a state function.</w:t>
      </w:r>
    </w:p>
    <w:p>
      <w:pPr>
        <w:pStyle w:val="Heading2"/>
      </w:pPr>
      <w:r>
        <w:t xml:space="preserve">6.1 Higher-order configurational entropy: options (proposed, not implemented)</w:t>
      </w:r>
    </w:p>
    <w:p>
      <w:pPr>
        <w:spacing w:after="120"/>
      </w:pPr>
      <w:r>
        <w:t xml:space="preserve">The MIE-1/MIE-2 sign flip shows the truncation matters. These are candidate next steps. None is implemented, and all would reuse the per-sample weights and bootstrap draws already in </w:t>
      </w:r>
      <w:r>
        <w:rPr>
          <w:rFonts w:ascii="Consolas" w:cs="Consolas" w:eastAsia="Consolas" w:hAnsi="Consolas"/>
          <w:sz w:val="19"/>
          <w:szCs w:val="19"/>
        </w:rPr>
        <w:t xml:space="preserve">basin_entropy</w:t>
      </w:r>
      <w:r>
        <w:t xml:space="preserve">.</w:t>
      </w:r>
    </w:p>
    <w:p>
      <w:pPr>
        <w:pStyle w:val="ListParagraph"/>
        <w:numPr>
          <w:ilvl w:val="0"/>
          <w:numId w:val="2"/>
        </w:numPr>
        <w:spacing w:after="60"/>
      </w:pPr>
      <w:r>
        <w:rPr>
          <w:b/>
          <w:bCs/>
        </w:rPr>
        <w:t xml:space="preserve">MIST (maximum-information spanning tree; King &amp; Tidor).</w:t>
      </w:r>
      <w:r>
        <w:t xml:space="preserve"> Keep only the M − 1 = 17 pair terms on the maximum spanning tree of the I</w:t>
      </w:r>
      <w:r>
        <w:rPr>
          <w:vertAlign w:val="subscript"/>
        </w:rPr>
        <w:t xml:space="preserve">ij</w:t>
      </w:r>
      <w:r>
        <w:t xml:space="preserve"> graph instead of all 153. Each MIST order bounds the entropy from above, so it cannot overshoot the way a truncated MIE can. Fewer summed pair terms also means less accumulated estimator bias. This is the cheapest drop-in: the same histograms, plus a spanning-tree step.</w:t>
      </w:r>
    </w:p>
    <w:p>
      <w:pPr>
        <w:pStyle w:val="ListParagraph"/>
        <w:numPr>
          <w:ilvl w:val="0"/>
          <w:numId w:val="2"/>
        </w:numPr>
        <w:spacing w:after="60"/>
      </w:pPr>
      <w:r>
        <w:rPr>
          <w:b/>
          <w:bCs/>
        </w:rPr>
        <w:t xml:space="preserve">Bias-corrected MI.</w:t>
      </w:r>
      <w:r>
        <w:t xml:space="preserve"> A Miller–Madow correction ((m − 1)/(2N) per histogram, with N → weight ESS and m = occupied cells) applied to H</w:t>
      </w:r>
      <w:r>
        <w:rPr>
          <w:vertAlign w:val="subscript"/>
        </w:rPr>
        <w:t xml:space="preserve">i</w:t>
      </w:r>
      <w:r>
        <w:t xml:space="preserve"> and H</w:t>
      </w:r>
      <w:r>
        <w:rPr>
          <w:vertAlign w:val="subscript"/>
        </w:rPr>
        <w:t xml:space="preserve">ij</w:t>
      </w:r>
      <w:r>
        <w:t xml:space="preserve">. A shuffle/permutation null (permute one torsion within a basin to break the dependence) would measure the MI floor per pair, to subtract or to threshold insignificant pairs before summing.</w:t>
      </w:r>
    </w:p>
    <w:p>
      <w:pPr>
        <w:pStyle w:val="ListParagraph"/>
        <w:numPr>
          <w:ilvl w:val="0"/>
          <w:numId w:val="2"/>
        </w:numPr>
        <w:spacing w:after="60"/>
      </w:pPr>
      <w:r>
        <w:rPr>
          <w:b/>
          <w:bCs/>
        </w:rPr>
        <w:t xml:space="preserve">Third-order MIE.</w:t>
      </w:r>
      <w:r>
        <w:t xml:space="preserve"> C(18,3) = 816 triplets with 24³ = 13,824 cells each, against a basin ESS of ~13k at stride 10. That is sample-hungry and undersampled as it stands. It would need coarser bins or stride 1 (~10× the frames), and it should go with bias correction, since MIE terms alternate in sign.</w:t>
      </w:r>
    </w:p>
    <w:p>
      <w:pPr>
        <w:pStyle w:val="ListParagraph"/>
        <w:numPr>
          <w:ilvl w:val="0"/>
          <w:numId w:val="2"/>
        </w:numPr>
        <w:spacing w:after="60"/>
      </w:pPr>
      <w:r>
        <w:rPr>
          <w:b/>
          <w:bCs/>
        </w:rPr>
        <w:t xml:space="preserve">kNN full-dimensional torsion entropy (Kozachenko–Leonenko; Hnizdo et al.).</w:t>
      </w:r>
      <w:r>
        <w:t xml:space="preserve"> A nearest-neighbour estimator on the 18-torus with periodic distances, with no expansion truncation. Use it as a cross-check on the basin difference, not as the headline: it is biased in high dimension and needs a weighted variant or weight-proportional resampling.</w:t>
      </w:r>
    </w:p>
    <w:p>
      <w:pPr>
        <w:pStyle w:val="Heading1"/>
      </w:pPr>
      <w:r>
        <w:t xml:space="preserve">7. Usage</w:t>
      </w:r>
    </w:p>
    <w:p>
      <w:pPr>
        <w:keepNext/>
        <w:spacing w:after="80" w:before="160"/>
      </w:pPr>
      <w:r>
        <w:rPr>
          <w:b/>
          <w:bCs/>
          <w:sz w:val="19"/>
          <w:szCs w:val="19"/>
        </w:rPr>
        <w:t xml:space="preserve">Table 8. </w:t>
      </w:r>
      <w:r>
        <w:rPr>
          <w:sz w:val="19"/>
          <w:szCs w:val="19"/>
        </w:rPr>
        <w:t xml:space="preserve">CLI flags (</w:t>
      </w:r>
      <w:r>
        <w:rPr>
          <w:rFonts w:ascii="Consolas" w:cs="Consolas" w:eastAsia="Consolas" w:hAnsi="Consolas"/>
          <w:sz w:val="17"/>
          <w:szCs w:val="17"/>
        </w:rPr>
        <w:t xml:space="preserve">analyze_gareus_mbar.py</w:t>
      </w:r>
      <w:r>
        <w:rPr>
          <w:sz w:val="19"/>
          <w:szCs w:val="19"/>
        </w:rPr>
        <w:t xml:space="preserve"> / </w:t>
      </w:r>
      <w:r>
        <w:rPr>
          <w:rFonts w:ascii="Consolas" w:cs="Consolas" w:eastAsia="Consolas" w:hAnsi="Consolas"/>
          <w:sz w:val="17"/>
          <w:szCs w:val="17"/>
        </w:rPr>
        <w:t xml:space="preserve">gareus-analyze</w:t>
      </w:r>
      <w:r>
        <w:rPr>
          <w:sz w:val="19"/>
          <w:szCs w:val="19"/>
        </w:rPr>
        <w:t xml:space="preserve">). The stage is on by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23"/>
        <w:gridCol w:w="1329"/>
        <w:gridCol w:w="4986"/>
      </w:tblGrid>
      <w:tr>
        <w:trPr>
          <w:tblHeader/>
        </w:trPr>
        <w:tc>
          <w:tcPr>
            <w:tcW w:type="dxa" w:w="3323"/>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Flag</w:t>
            </w:r>
          </w:p>
        </w:tc>
        <w:tc>
          <w:tcPr>
            <w:tcW w:type="dxa" w:w="1329"/>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Default</w:t>
            </w:r>
          </w:p>
        </w:tc>
        <w:tc>
          <w:tcPr>
            <w:tcW w:type="dxa" w:w="4986"/>
            <w:tcBorders>
              <w:top w:val="single" w:color="BFBFBF" w:sz="4"/>
              <w:left w:val="single" w:color="BFBFBF" w:sz="4"/>
              <w:bottom w:val="single" w:color="BFBFBF" w:sz="4"/>
              <w:right w:val="single" w:color="BFBFBF" w:sz="4"/>
            </w:tcBorders>
            <w:shd w:fill="DCE6F0" w:color="auto" w:val="clear"/>
            <w:tcMar>
              <w:top w:type="dxa" w:w="40"/>
              <w:left w:type="dxa" w:w="80"/>
              <w:bottom w:type="dxa" w:w="40"/>
              <w:right w:type="dxa" w:w="80"/>
            </w:tcMar>
          </w:tcPr>
          <w:p>
            <w:pPr>
              <w:jc w:val="left"/>
            </w:pPr>
            <w:r>
              <w:rPr>
                <w:b/>
                <w:bCs/>
                <w:sz w:val="18"/>
                <w:szCs w:val="18"/>
              </w:rPr>
              <w:t xml:space="preserve">Meaning</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--no-thermo-decomposition</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off</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disable the stage</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--thermo-basin NAME:LO:HI</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auto</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CV1 basin, repeatable; without it an </w:t>
            </w:r>
            <w:r>
              <w:rPr>
                <w:rFonts w:ascii="Consolas" w:cs="Consolas" w:eastAsia="Consolas" w:hAnsi="Consolas"/>
                <w:sz w:val="16"/>
                <w:szCs w:val="16"/>
              </w:rPr>
              <w:t xml:space="preserve">auto</w:t>
            </w:r>
            <w:r>
              <w:rPr>
                <w:sz w:val="18"/>
                <w:szCs w:val="18"/>
              </w:rPr>
              <w:t xml:space="preserve"> split at the PMF barrier</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--thermo-bins</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--bins</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CV1 bins for profiles</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--thermo-bootstrap N</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200</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paired block-bootstrap replicates; 0 disables SEs</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--thermo-seed</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bootstrap RNG seed</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--thermo-min-basin-ess</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1000</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per-basin weight-ESS gate</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--thermo-min-basin-blocks</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8</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per-basin distinct (epoch, replica) blocks</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--thermo-frames</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off</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phase 2: peptide-only PME + torsion entropy from saved frames</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--thermo-frame-stride N</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evaluate every N-th trajectory interval</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--thermo-frame-platform</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auto</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CUDA → OpenCL → CPU</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--thermo-entropy-bins</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24</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histogram bins per torsion</w:t>
            </w:r>
          </w:p>
        </w:tc>
      </w:tr>
      <w:tr>
        <w:trPr>
          <w:cantSplit/>
        </w:trPr>
        <w:tc>
          <w:tcPr>
            <w:tcW w:type="dxa" w:w="332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nsolas" w:cs="Consolas" w:eastAsia="Consolas" w:hAnsi="Consolas"/>
                <w:sz w:val="16"/>
                <w:szCs w:val="16"/>
              </w:rPr>
              <w:t xml:space="preserve">--thermo-no-entropy</w:t>
            </w:r>
          </w:p>
        </w:tc>
        <w:tc>
          <w:tcPr>
            <w:tcW w:type="dxa" w:w="132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off</w:t>
            </w:r>
          </w:p>
        </w:tc>
        <w:tc>
          <w:tcPr>
            <w:tcW w:type="dxa" w:w="498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frames: energies only</w:t>
            </w:r>
          </w:p>
        </w:tc>
      </w:tr>
    </w:tbl>
    <w:p>
      <w:pPr>
        <w:spacing w:after="120"/>
      </w:pPr>
      <w:r>
        <w:t xml:space="preserve">Outputs go to </w:t>
      </w:r>
      <w:r>
        <w:rPr>
          <w:rFonts w:ascii="Consolas" w:cs="Consolas" w:eastAsia="Consolas" w:hAnsi="Consolas"/>
          <w:sz w:val="19"/>
          <w:szCs w:val="19"/>
        </w:rPr>
        <w:t xml:space="preserve">&lt;out&gt;/thermo_decomposition/</w:t>
      </w:r>
      <w:r>
        <w:t xml:space="preserve">: </w:t>
      </w:r>
      <w:r>
        <w:rPr>
          <w:rFonts w:ascii="Consolas" w:cs="Consolas" w:eastAsia="Consolas" w:hAnsi="Consolas"/>
          <w:sz w:val="19"/>
          <w:szCs w:val="19"/>
        </w:rPr>
        <w:t xml:space="preserve">thermo_basins.csv</w:t>
      </w:r>
      <w:r>
        <w:t xml:space="preserve">, </w:t>
      </w:r>
      <w:r>
        <w:rPr>
          <w:rFonts w:ascii="Consolas" w:cs="Consolas" w:eastAsia="Consolas" w:hAnsi="Consolas"/>
          <w:sz w:val="19"/>
          <w:szCs w:val="19"/>
        </w:rPr>
        <w:t xml:space="preserve">thermo_differences.csv</w:t>
      </w:r>
      <w:r>
        <w:t xml:space="preserve">, </w:t>
      </w:r>
      <w:r>
        <w:rPr>
          <w:rFonts w:ascii="Consolas" w:cs="Consolas" w:eastAsia="Consolas" w:hAnsi="Consolas"/>
          <w:sz w:val="19"/>
          <w:szCs w:val="19"/>
        </w:rPr>
        <w:t xml:space="preserve">thermo_cv_profiles.csv/.png</w:t>
      </w:r>
      <w:r>
        <w:t xml:space="preserve"> and </w:t>
      </w:r>
      <w:r>
        <w:rPr>
          <w:rFonts w:ascii="Consolas" w:cs="Consolas" w:eastAsia="Consolas" w:hAnsi="Consolas"/>
          <w:sz w:val="19"/>
          <w:szCs w:val="19"/>
        </w:rPr>
        <w:t xml:space="preserve">thermo_summary.json</w:t>
      </w:r>
      <w:r>
        <w:t xml:space="preserve">. With frames there are also </w:t>
      </w:r>
      <w:r>
        <w:rPr>
          <w:rFonts w:ascii="Consolas" w:cs="Consolas" w:eastAsia="Consolas" w:hAnsi="Consolas"/>
          <w:sz w:val="19"/>
          <w:szCs w:val="19"/>
        </w:rPr>
        <w:t xml:space="preserve">thermo_frame_basins.csv</w:t>
      </w:r>
      <w:r>
        <w:t xml:space="preserve">, </w:t>
      </w:r>
      <w:r>
        <w:rPr>
          <w:rFonts w:ascii="Consolas" w:cs="Consolas" w:eastAsia="Consolas" w:hAnsi="Consolas"/>
          <w:sz w:val="19"/>
          <w:szCs w:val="19"/>
        </w:rPr>
        <w:t xml:space="preserve">thermo_frame_differences.csv</w:t>
      </w:r>
      <w:r>
        <w:t xml:space="preserve"> and </w:t>
      </w:r>
      <w:r>
        <w:rPr>
          <w:rFonts w:ascii="Consolas" w:cs="Consolas" w:eastAsia="Consolas" w:hAnsi="Consolas"/>
          <w:sz w:val="19"/>
          <w:szCs w:val="19"/>
        </w:rPr>
        <w:t xml:space="preserve">thermo_frame_energies.npz</w:t>
      </w:r>
      <w:r>
        <w:t xml:space="preserve">. The block is merged into </w:t>
      </w:r>
      <w:r>
        <w:rPr>
          <w:rFonts w:ascii="Consolas" w:cs="Consolas" w:eastAsia="Consolas" w:hAnsi="Consolas"/>
          <w:sz w:val="19"/>
          <w:szCs w:val="19"/>
        </w:rPr>
        <w:t xml:space="preserve">pmf_summary.json["thermo_decomposition"]</w:t>
      </w:r>
      <w:r>
        <w:t xml:space="preserve"> (frames under </w:t>
      </w:r>
      <w:r>
        <w:rPr>
          <w:rFonts w:ascii="Consolas" w:cs="Consolas" w:eastAsia="Consolas" w:hAnsi="Consolas"/>
          <w:sz w:val="19"/>
          <w:szCs w:val="19"/>
        </w:rPr>
        <w:t xml:space="preserve">["frames"]</w:t>
      </w:r>
      <w:r>
        <w:t xml:space="preserve">) and rendered in </w:t>
      </w:r>
      <w:r>
        <w:rPr>
          <w:rFonts w:ascii="Consolas" w:cs="Consolas" w:eastAsia="Consolas" w:hAnsi="Consolas"/>
          <w:sz w:val="19"/>
          <w:szCs w:val="19"/>
        </w:rPr>
        <w:t xml:space="preserve">pmf_summary.md</w:t>
      </w:r>
      <w:r>
        <w:t xml:space="preserve">.</w:t>
      </w:r>
    </w:p>
    <w:p>
      <w:pPr>
        <w:spacing w:after="120"/>
      </w:pPr>
      <w:r>
        <w:rPr>
          <w:b/>
          <w:bCs/>
        </w:rPr>
        <w:t xml:space="preserve">Prospective chignolin_9 command</w:t>
      </w:r>
      <w:r>
        <w:t xml:space="preserve"> (the run is still at the swarm stage; basin edges must be chosen from its own PMF, and the production path depends on the final layout):</w:t>
      </w:r>
    </w:p>
    <w:p>
      <w:pPr>
        <w:shd w:fill="F2F2F2" w:color="auto" w:val="clear"/>
        <w:spacing w:after="0"/>
      </w:pPr>
      <w:r>
        <w:rPr>
          <w:rFonts w:ascii="Consolas" w:cs="Consolas" w:eastAsia="Consolas" w:hAnsi="Consolas"/>
          <w:sz w:val="17"/>
          <w:szCs w:val="17"/>
        </w:rPr>
        <w:t xml:space="preserve">python analyze_gareus_mbar.py RUNS/chignolin_9 --analysis-source parquet \</w:t>
      </w:r>
    </w:p>
    <w:p>
      <w:pPr>
        <w:shd w:fill="F2F2F2" w:color="auto" w:val="clear"/>
        <w:spacing w:after="0"/>
      </w:pPr>
      <w:r>
        <w:rPr>
          <w:rFonts w:ascii="Consolas" w:cs="Consolas" w:eastAsia="Consolas" w:hAnsi="Consolas"/>
          <w:sz w:val="17"/>
          <w:szCs w:val="17"/>
        </w:rPr>
        <w:t xml:space="preserve">    --thermo-basin low:LO1:HI1 --thermo-basin high:LO2:HI2 \</w:t>
      </w:r>
    </w:p>
    <w:p>
      <w:pPr>
        <w:shd w:fill="F2F2F2" w:color="auto" w:val="clear"/>
        <w:spacing w:after="0"/>
      </w:pPr>
      <w:r>
        <w:rPr>
          <w:rFonts w:ascii="Consolas" w:cs="Consolas" w:eastAsia="Consolas" w:hAnsi="Consolas"/>
          <w:sz w:val="17"/>
          <w:szCs w:val="17"/>
        </w:rPr>
        <w:t xml:space="preserve">    --thermo-bootstrap 200 --thermo-frames --thermo-frame-stride 10 --thermo-frame-platform CUDA</w:t>
      </w:r>
    </w:p>
    <w:p>
      <w:pPr>
        <w:spacing w:after="120"/>
      </w:pPr>
    </w:p>
    <w:p>
      <w:pPr>
        <w:spacing w:after="120"/>
      </w:pPr>
      <w:r>
        <w:t xml:space="preserve">Prerequisites: </w:t>
      </w:r>
      <w:r>
        <w:rPr>
          <w:rFonts w:ascii="Consolas" w:cs="Consolas" w:eastAsia="Consolas" w:hAnsi="Consolas"/>
          <w:sz w:val="19"/>
          <w:szCs w:val="19"/>
        </w:rPr>
        <w:t xml:space="preserve">sample_potential_energy: true</w:t>
      </w:r>
      <w:r>
        <w:t xml:space="preserve"> and boost type </w:t>
      </w:r>
      <w:r>
        <w:rPr>
          <w:rFonts w:ascii="Consolas" w:cs="Consolas" w:eastAsia="Consolas" w:hAnsi="Consolas"/>
          <w:sz w:val="19"/>
          <w:szCs w:val="19"/>
        </w:rPr>
        <w:t xml:space="preserve">pep-gamd-lower-dual</w:t>
      </w:r>
      <w:r>
        <w:t xml:space="preserve"> (both set in chignolin_9's </w:t>
      </w:r>
      <w:r>
        <w:rPr>
          <w:rFonts w:ascii="Consolas" w:cs="Consolas" w:eastAsia="Consolas" w:hAnsi="Consolas"/>
          <w:sz w:val="19"/>
          <w:szCs w:val="19"/>
        </w:rPr>
        <w:t xml:space="preserve">run_args.json</w:t>
      </w:r>
      <w:r>
        <w:t xml:space="preserve">); the frozen envelope </w:t>
      </w:r>
      <w:r>
        <w:rPr>
          <w:rFonts w:ascii="Consolas" w:cs="Consolas" w:eastAsia="Consolas" w:hAnsi="Consolas"/>
          <w:sz w:val="19"/>
          <w:szCs w:val="19"/>
        </w:rPr>
        <w:t xml:space="preserve">shared_gamd_setup_globals.json</w:t>
      </w:r>
      <w:r>
        <w:t xml:space="preserve"> findable by </w:t>
      </w:r>
      <w:r>
        <w:rPr>
          <w:rFonts w:ascii="Consolas" w:cs="Consolas" w:eastAsia="Consolas" w:hAnsi="Consolas"/>
          <w:sz w:val="19"/>
          <w:szCs w:val="19"/>
        </w:rPr>
        <w:t xml:space="preserve">load_pep_gamd_envelope</w:t>
      </w:r>
      <w:r>
        <w:t xml:space="preserve"> (needed to strip the ladder boost from W</w:t>
      </w:r>
      <w:r>
        <w:rPr>
          <w:vertAlign w:val="subscript"/>
        </w:rPr>
        <w:t xml:space="preserve">own</w:t>
      </w:r>
      <w:r>
        <w:t xml:space="preserve">); </w:t>
      </w:r>
      <w:r>
        <w:rPr>
          <w:rFonts w:ascii="Consolas" w:cs="Consolas" w:eastAsia="Consolas" w:hAnsi="Consolas"/>
          <w:sz w:val="19"/>
          <w:szCs w:val="19"/>
        </w:rPr>
        <w:t xml:space="preserve">run_args.json</w:t>
      </w:r>
      <w:r>
        <w:t xml:space="preserve"> and </w:t>
      </w:r>
      <w:r>
        <w:rPr>
          <w:rFonts w:ascii="Consolas" w:cs="Consolas" w:eastAsia="Consolas" w:hAnsi="Consolas"/>
          <w:sz w:val="19"/>
          <w:szCs w:val="19"/>
        </w:rPr>
        <w:t xml:space="preserve">01_solvated_start.pdb</w:t>
      </w:r>
      <w:r>
        <w:t xml:space="preserve"> at or up to two levels above the production directory; and, because </w:t>
      </w:r>
      <w:r>
        <w:rPr>
          <w:rFonts w:ascii="Consolas" w:cs="Consolas" w:eastAsia="Consolas" w:hAnsi="Consolas"/>
          <w:sz w:val="19"/>
          <w:szCs w:val="19"/>
        </w:rPr>
        <w:t xml:space="preserve">traj_solute_only: true</w:t>
      </w:r>
      <w:r>
        <w:t xml:space="preserve">, a </w:t>
      </w:r>
      <w:r>
        <w:rPr>
          <w:rFonts w:ascii="Consolas" w:cs="Consolas" w:eastAsia="Consolas" w:hAnsi="Consolas"/>
          <w:sz w:val="19"/>
          <w:szCs w:val="19"/>
        </w:rPr>
        <w:t xml:space="preserve">solute_only.pdb</w:t>
      </w:r>
      <w:r>
        <w:t xml:space="preserve"> in each phase directory (otherwise the solvated PDB is used as the XTC topology and the atom-count check fails). Check that </w:t>
      </w:r>
      <w:r>
        <w:rPr>
          <w:rFonts w:ascii="Consolas" w:cs="Consolas" w:eastAsia="Consolas" w:hAnsi="Consolas"/>
          <w:sz w:val="19"/>
          <w:szCs w:val="19"/>
        </w:rPr>
        <w:t xml:space="preserve">frame_alignment.ok</w:t>
      </w:r>
      <w:r>
        <w:t xml:space="preserve"> is true, that </w:t>
      </w:r>
      <w:r>
        <w:rPr>
          <w:rFonts w:ascii="Consolas" w:cs="Consolas" w:eastAsia="Consolas" w:hAnsi="Consolas"/>
          <w:sz w:val="19"/>
          <w:szCs w:val="19"/>
        </w:rPr>
        <w:t xml:space="preserve">own_umbrella.median_reduced_max</w:t>
      </w:r>
      <w:r>
        <w:t xml:space="preserve"> does not trend with λ, and that both differences have </w:t>
      </w:r>
      <w:r>
        <w:rPr>
          <w:rFonts w:ascii="Consolas" w:cs="Consolas" w:eastAsia="Consolas" w:hAnsi="Consolas"/>
          <w:sz w:val="19"/>
          <w:szCs w:val="19"/>
        </w:rPr>
        <w:t xml:space="preserve">status: ok</w:t>
      </w:r>
      <w:r>
        <w:t xml:space="preserve">.</w:t>
      </w:r>
    </w:p>
    <w:p>
      <w:pPr>
        <w:pStyle w:val="Heading1"/>
      </w:pPr>
      <w:r>
        <w:t xml:space="preserve">8. Open items</w:t>
      </w:r>
    </w:p>
    <w:p>
      <w:pPr>
        <w:pStyle w:val="ListParagraph"/>
        <w:numPr>
          <w:ilvl w:val="0"/>
          <w:numId w:val="2"/>
        </w:numPr>
        <w:spacing w:after="60"/>
      </w:pPr>
      <w:r>
        <w:rPr>
          <w:b/>
          <w:bCs/>
        </w:rPr>
        <w:t xml:space="preserve">Pre-existing: _epoch_source used as an index into adaptive_epoch_run_dirs.</w:t>
      </w:r>
      <w:r>
        <w:t xml:space="preserve"> </w:t>
      </w:r>
      <w:r>
        <w:rPr>
          <w:rFonts w:ascii="Consolas" w:cs="Consolas" w:eastAsia="Consolas" w:hAnsi="Consolas"/>
          <w:sz w:val="19"/>
          <w:szCs w:val="19"/>
        </w:rPr>
        <w:t xml:space="preserve">_epoch_source</w:t>
      </w:r>
      <w:r>
        <w:t xml:space="preserve"> numbers only the phases that contributed samples, while </w:t>
      </w:r>
      <w:r>
        <w:rPr>
          <w:rFonts w:ascii="Consolas" w:cs="Consolas" w:eastAsia="Consolas" w:hAnsi="Consolas"/>
          <w:sz w:val="19"/>
          <w:szCs w:val="19"/>
        </w:rPr>
        <w:t xml:space="preserve">adaptive_epoch_run_dirs</w:t>
      </w:r>
      <w:r>
        <w:t xml:space="preserve"> lists every discovered phase. Once a phase contributes no samples, the two disagree. Readers that index one by the other: </w:t>
      </w:r>
      <w:r>
        <w:rPr>
          <w:rFonts w:ascii="Consolas" w:cs="Consolas" w:eastAsia="Consolas" w:hAnsi="Consolas"/>
          <w:sz w:val="19"/>
          <w:szCs w:val="19"/>
        </w:rPr>
        <w:t xml:space="preserve">data.py:_epoch_zero_split_masks</w:t>
      </w:r>
      <w:r>
        <w:t xml:space="preserve"> (line 419) and </w:t>
      </w:r>
      <w:r>
        <w:rPr>
          <w:rFonts w:ascii="Consolas" w:cs="Consolas" w:eastAsia="Consolas" w:hAnsi="Consolas"/>
          <w:sz w:val="19"/>
          <w:szCs w:val="19"/>
        </w:rPr>
        <w:t xml:space="preserve">_secondary_cv_epoch_regime_masks</w:t>
      </w:r>
      <w:r>
        <w:t xml:space="preserve"> (line 454), whose guard catches only out-of-range values, so a skipped middle phase silently mislabels samples; and in the analyzer, </w:t>
      </w:r>
      <w:r>
        <w:rPr>
          <w:rFonts w:ascii="Consolas" w:cs="Consolas" w:eastAsia="Consolas" w:hAnsi="Consolas"/>
          <w:sz w:val="19"/>
          <w:szCs w:val="19"/>
        </w:rPr>
        <w:t xml:space="preserve">_adjusted_steps_for_merged_traj</w:t>
      </w:r>
      <w:r>
        <w:t xml:space="preserve"> offsets samples by </w:t>
      </w:r>
      <w:r>
        <w:rPr>
          <w:rFonts w:ascii="Consolas" w:cs="Consolas" w:eastAsia="Consolas" w:hAnsi="Consolas"/>
          <w:sz w:val="19"/>
          <w:szCs w:val="19"/>
        </w:rPr>
        <w:t xml:space="preserve">src·STEP_STRIDE</w:t>
      </w:r>
      <w:r>
        <w:t xml:space="preserve"> while </w:t>
      </w:r>
      <w:r>
        <w:rPr>
          <w:rFonts w:ascii="Consolas" w:cs="Consolas" w:eastAsia="Consolas" w:hAnsi="Consolas"/>
          <w:sz w:val="19"/>
          <w:szCs w:val="19"/>
        </w:rPr>
        <w:t xml:space="preserve">_get_adaptive_epoch_traj_dirs</w:t>
      </w:r>
      <w:r>
        <w:t xml:space="preserve"> enumerates positions in </w:t>
      </w:r>
      <w:r>
        <w:rPr>
          <w:rFonts w:ascii="Consolas" w:cs="Consolas" w:eastAsia="Consolas" w:hAnsi="Consolas"/>
          <w:sz w:val="19"/>
          <w:szCs w:val="19"/>
        </w:rPr>
        <w:t xml:space="preserve">adaptive_epoch_run_dirs</w:t>
      </w:r>
      <w:r>
        <w:t xml:space="preserve">, and </w:t>
      </w:r>
      <w:r>
        <w:rPr>
          <w:rFonts w:ascii="Consolas" w:cs="Consolas" w:eastAsia="Consolas" w:hAnsi="Consolas"/>
          <w:sz w:val="19"/>
          <w:szCs w:val="19"/>
        </w:rPr>
        <w:t xml:space="preserve">_epoch_source_annotations</w:t>
      </w:r>
      <w:r>
        <w:t xml:space="preserve"> labels by that position. The new key </w:t>
      </w:r>
      <w:r>
        <w:rPr>
          <w:rFonts w:ascii="Consolas" w:cs="Consolas" w:eastAsia="Consolas" w:hAnsi="Consolas"/>
          <w:sz w:val="19"/>
          <w:szCs w:val="19"/>
        </w:rPr>
        <w:t xml:space="preserve">_epoch_source_run_dirs</w:t>
      </w:r>
      <w:r>
        <w:t xml:space="preserve"> (</w:t>
      </w:r>
      <w:r>
        <w:rPr>
          <w:rFonts w:ascii="Consolas" w:cs="Consolas" w:eastAsia="Consolas" w:hAnsi="Consolas"/>
          <w:sz w:val="19"/>
          <w:szCs w:val="19"/>
        </w:rPr>
        <w:t xml:space="preserve">loaders_union_parquet.py</w:t>
      </w:r>
      <w:r>
        <w:t xml:space="preserve">, one entry per source value) is used by the thermo frames code, which refuses an ambiguous mapping. The existing readers were not switched to it, and the </w:t>
      </w:r>
      <w:r>
        <w:rPr>
          <w:rFonts w:ascii="Consolas" w:cs="Consolas" w:eastAsia="Consolas" w:hAnsi="Consolas"/>
          <w:sz w:val="19"/>
          <w:szCs w:val="19"/>
        </w:rPr>
        <w:t xml:space="preserve">loaders_adaptive.py</w:t>
      </w:r>
      <w:r>
        <w:t xml:space="preserve"> paths do not write it.</w:t>
      </w:r>
    </w:p>
    <w:p>
      <w:pPr>
        <w:pStyle w:val="ListParagraph"/>
        <w:numPr>
          <w:ilvl w:val="0"/>
          <w:numId w:val="2"/>
        </w:numPr>
        <w:spacing w:after="60"/>
      </w:pPr>
      <w:r>
        <w:rPr>
          <w:b/>
          <w:bCs/>
        </w:rPr>
        <w:t xml:space="preserve">Pre-existing: analyze_gareus_mbar._sample_to_segment_frame off-by-one.</w:t>
      </w:r>
      <w:r>
        <w:t xml:space="preserve"> The function assumes the first frame of a segment with resume start R is at R + interval. For a resume start that is not a multiple of </w:t>
      </w:r>
      <w:r>
        <w:rPr>
          <w:rFonts w:ascii="Consolas" w:cs="Consolas" w:eastAsia="Consolas" w:hAnsi="Consolas"/>
          <w:sz w:val="19"/>
          <w:szCs w:val="19"/>
        </w:rPr>
        <w:t xml:space="preserve">traj_interval</w:t>
      </w:r>
      <w:r>
        <w:t xml:space="preserve">, the first frame is at the next multiple. Derived check with the test geometry (R = 1900, interval 250, frames at 2000…3000): step 2000 is excluded and step 2250 maps to local frame 0 (really step 2000). This affects 3 of chignolin_8's 5 segments per replica. The thermo stage aligns by XTC time instead and does not use this function. Rg/PCA/FES paths still do.</w:t>
      </w:r>
    </w:p>
    <w:p>
      <w:pPr>
        <w:pStyle w:val="ListParagraph"/>
        <w:numPr>
          <w:ilvl w:val="0"/>
          <w:numId w:val="2"/>
        </w:numPr>
        <w:spacing w:after="60"/>
      </w:pPr>
      <w:r>
        <w:rPr>
          <w:b/>
          <w:bCs/>
        </w:rPr>
        <w:t xml:space="preserve">Ladder path on real data.</w:t>
      </w:r>
      <w:r>
        <w:t xml:space="preserve"> chignolin_8_US is unboosted, so W</w:t>
      </w:r>
      <w:r>
        <w:rPr>
          <w:vertAlign w:val="subscript"/>
        </w:rPr>
        <w:t xml:space="preserve">own</w:t>
      </w:r>
      <w:r>
        <w:t xml:space="preserve"> ladder subtraction and envelope loading are exercised only by synthetic tests. Validate them on chignolin_9: no negative W</w:t>
      </w:r>
      <w:r>
        <w:rPr>
          <w:vertAlign w:val="subscript"/>
        </w:rPr>
        <w:t xml:space="preserve">own</w:t>
      </w:r>
      <w:r>
        <w:t xml:space="preserve">, and β·W</w:t>
      </w:r>
      <w:r>
        <w:rPr>
          <w:vertAlign w:val="subscript"/>
        </w:rPr>
        <w:t xml:space="preserve">own</w:t>
      </w:r>
      <w:r>
        <w:t xml:space="preserve"> medians flat across λ.</w:t>
      </w:r>
    </w:p>
    <w:p>
      <w:pPr>
        <w:pStyle w:val="ListParagraph"/>
        <w:numPr>
          <w:ilvl w:val="0"/>
          <w:numId w:val="2"/>
        </w:numPr>
        <w:spacing w:after="60"/>
      </w:pPr>
      <w:r>
        <w:rPr>
          <w:b/>
          <w:bCs/>
        </w:rPr>
        <w:t xml:space="preserve">Entropy upgrades</w:t>
      </w:r>
      <w:r>
        <w:t xml:space="preserve"> (§6.1): MIST and bias-corrected MI first; third-order MIE and the kNN cross-check after that.</w:t>
      </w:r>
    </w:p>
    <w:p>
      <w:pPr>
        <w:pStyle w:val="ListParagraph"/>
        <w:numPr>
          <w:ilvl w:val="0"/>
          <w:numId w:val="2"/>
        </w:numPr>
        <w:spacing w:after="60"/>
      </w:pPr>
      <w:r>
        <w:rPr>
          <w:b/>
          <w:bCs/>
        </w:rPr>
        <w:t xml:space="preserve">Phase-2 profiles:</w:t>
      </w:r>
      <w:r>
        <w:t xml:space="preserve"> V</w:t>
      </w:r>
      <w:r>
        <w:rPr>
          <w:vertAlign w:val="subscript"/>
        </w:rPr>
        <w:t xml:space="preserve">pp</w:t>
      </w:r>
      <w:r>
        <w:t xml:space="preserve">/V</w:t>
      </w:r>
      <w:r>
        <w:rPr>
          <w:vertAlign w:val="subscript"/>
        </w:rPr>
        <w:t xml:space="preserve">pe</w:t>
      </w:r>
      <w:r>
        <w:t xml:space="preserve"> along CV1 are computed internally but not plotted.</w:t>
      </w:r>
    </w:p>
    <w:p>
      <w:pPr>
        <w:pStyle w:val="ListParagraph"/>
        <w:numPr>
          <w:ilvl w:val="0"/>
          <w:numId w:val="2"/>
        </w:numPr>
        <w:spacing w:after="60"/>
      </w:pPr>
      <w:r>
        <w:rPr>
          <w:b/>
          <w:bCs/>
        </w:rPr>
        <w:t xml:space="preserve">Spec housekeeping:</w:t>
      </w:r>
      <w:r>
        <w:t xml:space="preserve"> the spec header still reads "phase 2 not started", although §11 documents the implemented phase 2.</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b/>
      <w:bCs/>
      <w:color w:val="1F3864"/>
      <w:sz w:val="30"/>
      <w:szCs w:val="30"/>
    </w:rPr>
  </w:style>
  <w:style w:type="paragraph" w:styleId="Heading2">
    <w:name w:val="Heading 2"/>
    <w:basedOn w:val="Normal"/>
    <w:next w:val="Normal"/>
    <w:qFormat/>
    <w:pPr>
      <w:keepNext/>
      <w:spacing w:after="80" w:before="200"/>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683e716de660c3603a78541ec80dd4590a7d1a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GAREUS thermodynamic energy decomposition</dc:title>
  <dc:creator>GAREUS</dc:creator>
  <cp:lastModifiedBy>Un-named</cp:lastModifiedBy>
  <cp:revision>1</cp:revision>
  <dcterms:created xsi:type="dcterms:W3CDTF">2026-09-23T21:25:20.876Z</dcterms:created>
  <dcterms:modified xsi:type="dcterms:W3CDTF">2026-09-23T21:25:20.876Z</dcterms:modified>
</cp:coreProperties>
</file>

<file path=docProps/custom.xml><?xml version="1.0" encoding="utf-8"?>
<Properties xmlns="http://schemas.openxmlformats.org/officeDocument/2006/custom-properties" xmlns:vt="http://schemas.openxmlformats.org/officeDocument/2006/docPropsVTypes"/>
</file>