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8853cc0)</w:t>
      </w:r>
    </w:p>
    <w:p>
      <w:pPr>
        <w:spacing w:after="60"/>
        <w:jc w:val="center"/>
      </w:pPr>
      <w:r>
        <w:rPr>
          <w:sz w:val="24"/>
          <w:szCs w:val="24"/>
        </w:rPr>
        <w:t xml:space="preserve">Date: 22 September 2026</w:t>
      </w:r>
    </w:p>
    <w:p>
      <w:pPr>
        <w:spacing w:after="600"/>
        <w:jc w:val="center"/>
      </w:pPr>
      <w:r>
        <w:rPr>
          <w:i/>
          <w:iCs/>
          <w:sz w:val="20"/>
          <w:szCs w:val="20"/>
        </w:rPr>
        <w:t xml:space="preserve">Measurements: campaign chignolin_8, aurum2 node d094 (4 x NVIDIA L40S, 2 x AMD EPYC 9654)</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The fix is held back from the cluster until chignolin_8 has stopped, because its check would correctly refuse chignolin_8's stage-2 resume.</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(3-4.5x) requires CUDA MPS, which cannot serve 248 contexts on 4 GPUs; it is scheduled for chignolin_9 together with two integrator-level changes.</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1500"/>
        <w:gridCol w:w="3226"/>
        <w:gridCol w:w="1400"/>
      </w:tblGrid>
      <w:tr>
        <w:trPr>
          <w:tblHeader/>
        </w:trPr>
        <w:tc>
          <w:tcPr>
            <w:tcW w:type="dxa" w:w="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bl>
    <w:p>
      <w:pPr>
        <w:spacing w:after="120"/>
      </w:pPr>
    </w:p>
    <w:p>
      <w:pPr>
        <w:spacing w:after="120"/>
      </w:pP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 To be repeated at the 485,200 cutoff with ~2x the samples.</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Interim: connected and reweightable; rungs inconsistent. Repeat at the 485,200 cutoff</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tested; deploy to the cluster after chignolin_8 stops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measures the 3-4.5x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Queued 23 Sep 2026 (job 2580889): MPS at 236/192/64 contexts, PME stream on/off at 236, no-MPS 236 reference; FSF printed to prove the boost is live</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3-4.5x node throughput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Measure MPS at 59/GPU with the real integrator first; regenerate the CV2 layout (keep the F05 zero-k stack); count setup and pull contexts against the ~60-client limit; re-test the PME-stream flag under MPS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~13 %</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currently re-evaluates CV1's contact sum; share it in one CustomCVForce</w:t>
            </w:r>
          </w:p>
        </w:tc>
      </w:tr>
    </w:tbl>
    <w:p>
      <w:pPr>
        <w:spacing w:after="120"/>
      </w:pPr>
    </w:p>
    <w:p>
      <w:pPr>
        <w:spacing w:after="120"/>
      </w:pPr>
      <w:r>
        <w:t xml:space="preserve">All three change the integrator or force layout and therefore the kernel identity recorded for F04, so they start a new campaign rather than extend chignolin_8.</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w:t>
      </w:r>
    </w:p>
    <w:p>
      <w:pPr>
        <w:pStyle w:val="ListParagraph"/>
        <w:numPr>
          <w:ilvl w:val="0"/>
          <w:numId w:val="2"/>
        </w:numPr>
        <w:spacing w:after="60"/>
      </w:pPr>
      <w:r>
        <w:t xml:space="preserve">Benchmark jobs on aurum2: 2563549 (context limits), 2577764 (integrator arms), 2579032 (bias groups, real CV forces); live A/B jobs 2567463, 2575924, 2579059.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dc:title>
  <dc:creator>ATLaS-MD</dc:creator>
  <cp:lastModifiedBy>Un-named</cp:lastModifiedBy>
  <cp:revision>1</cp:revision>
  <dcterms:created xsi:type="dcterms:W3CDTF">2026-09-22T22:26:48.300Z</dcterms:created>
  <dcterms:modified xsi:type="dcterms:W3CDTF">2026-09-22T22:26:48.300Z</dcterms:modified>
</cp:coreProperties>
</file>

<file path=docProps/custom.xml><?xml version="1.0" encoding="utf-8"?>
<Properties xmlns="http://schemas.openxmlformats.org/officeDocument/2006/custom-properties" xmlns:vt="http://schemas.openxmlformats.org/officeDocument/2006/docPropsVTypes"/>
</file>