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GAREUS Adaptive Sampling</w:t>
      </w:r>
    </w:p>
    <w:p>
      <w:pPr>
        <w:jc w:val="center"/>
      </w:pPr>
      <w:r>
        <w:rPr>
          <w:color w:val="555555"/>
          <w:sz w:val="28"/>
        </w:rPr>
        <w:t>Synthetic Harness and Strategy Studies — Final Report</w:t>
      </w:r>
    </w:p>
    <w:p/>
    <w:p>
      <w:pPr>
        <w:jc w:val="center"/>
      </w:pPr>
      <w:r>
        <w:rPr>
          <w:i/>
          <w:sz w:val="22"/>
        </w:rPr>
        <w:t>Testing and tuning adaptive umbrella-window placement without molecular dynamics</w:t>
      </w:r>
    </w:p>
    <w:p>
      <w:pPr>
        <w:jc w:val="center"/>
      </w:pPr>
      <w:r>
        <w:rPr>
          <w:color w:val="555555"/>
          <w:sz w:val="18"/>
        </w:rPr>
        <w:t>gareus/synth/  ·  50 unit tests  ·  no OpenMM  ·  2026-06</w:t>
      </w:r>
    </w:p>
    <w:p/>
    <w:p>
      <w:pPr>
        <w:pStyle w:val="Heading1"/>
      </w:pPr>
      <w:r>
        <w:rPr>
          <w:color w:val="1F4E79"/>
        </w:rPr>
        <w:t>1. What this is, in one page</w:t>
      </w:r>
    </w:p>
    <w:p>
      <w:r>
        <w:rPr>
          <w:i w:val="0"/>
        </w:rPr>
        <w:t>GAREUS moves umbrella-sampling windows around a 2-D collective-variable space during a run. Two subsystems do this: adaptive-FEEDBACK creates / moves / removes / re-tunes windows to lay out a good ladder, and adaptive-PRODUCTION then runs epochs that top-up under-sampled windows, add windows at weak edges, and retire redundant ones. Tuning either previously meant running real OpenMM GaMD/REUS molecular dynamics — GPU-hours per trial, and noisy.</w:t>
      </w:r>
    </w:p>
    <w:p>
      <w:r>
        <w:rPr>
          <w:i w:val="0"/>
        </w:rPr>
        <w:t>The synthetic harness (gareus/synth/) replaces MD with cheap synthetic samples drawn from an analytic free-energy surface, feeds them into the REAL, unmodified GAREUS decision code, and scores the resulting window evolution against an oracle computed from the same surface — i.e. against a known answer. A full strategy sweep runs in seconds to minutes instead of GPU-days.</w:t>
      </w:r>
    </w:p>
    <w:p>
      <w:r>
        <w:rPr>
          <w:i/>
          <w:color w:val="555555"/>
        </w:rPr>
        <w:t>With it we ran two studies: 10 feedback (layout) strategies and 7 doubly-adaptive (epoch) strategies. This report consolidates both. Companion documents: the harness explainer (GAREUS_synthetic_adaptive_harness.docx) and the two detailed study reports (GAREUS_strategy_comparison.docx, GAREUS_double_adaptive_strategies.docx).</w:t>
      </w:r>
    </w:p>
    <w:p>
      <w:pPr>
        <w:pStyle w:val="Heading2"/>
      </w:pPr>
      <w:r>
        <w:rPr>
          <w:color w:val="1F4E79"/>
        </w:rPr>
        <w:t>Headline conclusions</w:t>
      </w:r>
    </w:p>
    <w:p>
      <w:pPr>
        <w:pStyle w:val="ListBullet"/>
      </w:pPr>
      <w:r>
        <w:rPr>
          <w:b/>
        </w:rPr>
        <w:t xml:space="preserve">It works: </w:t>
      </w:r>
      <w:r>
        <w:t>the harness reproduces create/move/remove/k-tune (feedback) and top-up/retire/add (production) and ranks strategies against a known answer, in seconds, with zero MD.</w:t>
      </w:r>
    </w:p>
    <w:p>
      <w:pPr>
        <w:pStyle w:val="ListBullet"/>
      </w:pPr>
      <w:r>
        <w:rPr>
          <w:b/>
        </w:rPr>
        <w:t xml:space="preserve">Feedback: </w:t>
      </w:r>
      <w:r>
        <w:t>for the window LAYOUT, an aggressive policy at the 0.30 overlap target is the lean default (fewest windows at ~86% of top quality); a conservative/tight policy maximises fidelity at ~30% more windows.</w:t>
      </w:r>
    </w:p>
    <w:p>
      <w:pPr>
        <w:pStyle w:val="ListBullet"/>
      </w:pPr>
      <w:r>
        <w:rPr>
          <w:b/>
        </w:rPr>
        <w:t xml:space="preserve">Production: </w:t>
      </w:r>
      <w:r>
        <w:t>for the EPOCH loop, balancing add-at-weak-edge with top-up wins; pure top-up cannot fix coverage gaps; retirement almost never fires under add pressure.</w:t>
      </w:r>
    </w:p>
    <w:p>
      <w:pPr>
        <w:pStyle w:val="ListBullet"/>
      </w:pPr>
      <w:r>
        <w:rPr>
          <w:b/>
        </w:rPr>
        <w:t xml:space="preserve">One cross-cutting signal: </w:t>
      </w:r>
      <w:r>
        <w:t>across every strategy the dispatcher converges to ~0.7 neighbour overlap against its 0.30 target (over-resolution) — a single, consistent tuning lead, flagged with a k-scale caveat.</w:t>
      </w:r>
    </w:p>
    <w:p>
      <w:pPr>
        <w:pStyle w:val="Heading1"/>
      </w:pPr>
      <w:r>
        <w:rPr>
          <w:color w:val="1F4E79"/>
        </w:rPr>
        <w:t>2. How the harness works</w:t>
      </w:r>
    </w:p>
    <w:p>
      <w:r>
        <w:rPr>
          <w:i w:val="0"/>
        </w:rPr>
        <w:t>The key enabling fact: the adaptive decisions are pure, data-level functions, not entangled with OpenMM. The harness drives them directly and reimplements only the thin round/epoch glue.</w:t>
      </w:r>
    </w:p>
    <w:p>
      <w:pPr>
        <w:ind w:left="216"/>
      </w:pPr>
      <w:r>
        <w:rPr>
          <w:rFonts w:ascii="Consolas" w:hAnsi="Consolas"/>
          <w:sz w:val="17"/>
        </w:rPr>
        <w:t>analytic F(cv1,cv2)  -&gt;  biased sampler (exact | Langevin)  -&gt;  synthetic samples + exchange</w:t>
      </w:r>
      <w:r>
        <w:rPr>
          <w:rFonts w:ascii="Consolas" w:hAnsi="Consolas"/>
          <w:sz w:val="17"/>
        </w:rPr>
        <w:br/>
        <w:t xml:space="preserve">                                          |</w:t>
      </w:r>
      <w:r>
        <w:rPr>
          <w:rFonts w:ascii="Consolas" w:hAnsi="Consolas"/>
          <w:sz w:val="17"/>
        </w:rPr>
        <w:br/>
        <w:t xml:space="preserve">   feedback:   run_adaptive_feedback_dispatcher_2d                       (shipped)</w:t>
      </w:r>
      <w:r>
        <w:rPr>
          <w:rFonts w:ascii="Consolas" w:hAnsi="Consolas"/>
          <w:sz w:val="17"/>
        </w:rPr>
        <w:br/>
        <w:t xml:space="preserve">   production: build_adaptive_epoch_schedule + propose_actions_from_diagnostics</w:t>
      </w:r>
      <w:r>
        <w:rPr>
          <w:rFonts w:ascii="Consolas" w:hAnsi="Consolas"/>
          <w:sz w:val="17"/>
        </w:rPr>
        <w:br/>
        <w:t xml:space="preserve">               + evaluate_adaptive_convergence_gate                       (shipped)</w:t>
      </w:r>
      <w:r>
        <w:rPr>
          <w:rFonts w:ascii="Consolas" w:hAnsi="Consolas"/>
          <w:sz w:val="17"/>
        </w:rPr>
        <w:br/>
        <w:t xml:space="preserve">                                          |</w:t>
      </w:r>
      <w:r>
        <w:rPr>
          <w:rFonts w:ascii="Consolas" w:hAnsi="Consolas"/>
          <w:sz w:val="17"/>
        </w:rPr>
        <w:br/>
        <w:t xml:space="preserve">                         evolved windows  -&gt;  metrics vs grid oracle</w:t>
      </w:r>
    </w:p>
    <w:p>
      <w:pPr>
        <w:pStyle w:val="ListBullet"/>
      </w:pPr>
      <w:r>
        <w:rPr>
          <w:b/>
        </w:rPr>
        <w:t xml:space="preserve">Samplers: </w:t>
      </w:r>
      <w:r>
        <w:t>exact grid inverse-CDF (oracle/regression) and adversarial overdamped Langevin (finite-time under-sampling, slow-CV2 trapping). An ESS/burn-in cost model lets epoch strategies separate even from i.i.d. draws.</w:t>
      </w:r>
    </w:p>
    <w:p>
      <w:pPr>
        <w:pStyle w:val="ListBullet"/>
      </w:pPr>
      <w:r>
        <w:rPr>
          <w:b/>
        </w:rPr>
        <w:t xml:space="preserve">Landscapes &amp; oracle: </w:t>
      </w:r>
      <w:r>
        <w:t>4 analytic surfaces (mixture-wells, gated-barrier, banana-valley, slow-cv2-double-branch); the oracle derives the ideal minimal ladder, low-F region, and true PMF from the exact grid.</w:t>
      </w:r>
    </w:p>
    <w:p>
      <w:pPr>
        <w:pStyle w:val="ListBullet"/>
      </w:pPr>
      <w:r>
        <w:rPr>
          <w:b/>
        </w:rPr>
        <w:t xml:space="preserve">Validation: </w:t>
      </w:r>
      <w:r>
        <w:t>52 import-light unit tests (no OpenMM / PeptideBuilder / gamd-openmm); committed as gareus/synth/ + tests/test_synth_*.py.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30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space_mixture-wel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3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0. CV1×CV2 view (mixture-wells): true FES + window placement; explored sample density vs the low-F region to cover (cyan); MBAR-recovered FES; recovery error. Full set per landscape in GAREUS_cv_space_exploration.docx.</w:t>
      </w:r>
    </w:p>
    <w:p>
      <w:pPr>
        <w:pStyle w:val="Heading1"/>
      </w:pPr>
      <w:r>
        <w:rPr>
          <w:color w:val="1F4E79"/>
        </w:rPr>
        <w:t>3. Study A — window-layout strategies (adaptive feedback)</w:t>
      </w:r>
    </w:p>
    <w:p>
      <w:r>
        <w:rPr>
          <w:i w:val="0"/>
        </w:rPr>
        <w:t>Ten policies spanning aggressiveness (conservative→very-aggressive) × overlap target (0.20/0.30/0.45) × sampler (exact/Langevin), each from a common over-dense layout across all four landscapes. Top by composite: S08 (Conservative / 0.45 (safest)); the aggressive family (S04, S07, S03) is the lean sweet spot.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ran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A1. Feedback-strategy composite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6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A2. Quality vs cost-efficiency; upper-right is best.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Composite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#win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overlap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econ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PMF(kBT)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/>
                <w:sz w:val="16"/>
              </w:rPr>
              <w:t>S08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0.766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10.0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0.70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1.67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0.067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S04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0.672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7.6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1.75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0.089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S07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0.672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7.6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1.75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0.089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S03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0.672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7.6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1.75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0.089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S06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0.642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9.9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1.65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0.071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S01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0.626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9.0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1.80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0.087</w:t>
            </w:r>
          </w:p>
        </w:tc>
      </w:tr>
    </w:tbl>
    <w:p/>
    <w:p>
      <w:r>
        <w:rPr>
          <w:i/>
          <w:color w:val="555555"/>
        </w:rPr>
        <w:t>Top 6 of 10 shown. Full detail in GAREUS_strategy_comparison.docx.</w:t>
      </w:r>
    </w:p>
    <w:p>
      <w:pPr>
        <w:pStyle w:val="ListBullet"/>
      </w:pPr>
      <w:r>
        <w:rPr>
          <w:b/>
        </w:rPr>
        <w:t xml:space="preserve">Read: </w:t>
      </w:r>
      <w:r>
        <w:t>S08 conservative/0.45 maximises quality (best coverage, connectivity, PMF) at the most windows; the aggressive family gives ~86% of that quality with ~25% fewer windows; pure target-loosening (S05) is worst; Langevin (realistic under-sampling) collapses PMF recovery to ~1.4 kBT, proving layout quality is necessary but not sufficient.</w:t>
      </w:r>
    </w:p>
    <w:p>
      <w:pPr>
        <w:pStyle w:val="Heading1"/>
      </w:pPr>
      <w:r>
        <w:rPr>
          <w:color w:val="1F4E79"/>
        </w:rPr>
        <w:t>4. Study B — epoch strategies (doubly-adaptive production)</w:t>
      </w:r>
    </w:p>
    <w:p>
      <w:r>
        <w:rPr>
          <w:i w:val="0"/>
        </w:rPr>
        <w:t>Seven production policies on a frozen handoff layout, each spending the same 18,000-sample budget (ESS cost model), across four landscapes × 3 seeds. The top two — add_then_topup and weak_edge_triage — are tied within seed noise; both balance add-at-weak-edge with top-up.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9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_r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B1. Epoch-strategy composite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25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B2. PMF recovery vs budget (lower/faster = more efficient).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2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_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B3. Action mix — retire is ≈ 0 for every strategy.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Composite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PMF(kBT)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#win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adds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retires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topups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/>
                <w:sz w:val="16"/>
              </w:rPr>
              <w:t>add_then_topup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0.384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0.385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28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weak_edge_triage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0.383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0.389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eager_add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0.370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0.421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82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retire_happy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0.354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0.437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baseline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0.350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0.450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retire_cautious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0.350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0.450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6"/>
              </w:rPr>
              <w:t>topup_heavy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0.326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0.505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83</w:t>
            </w:r>
          </w:p>
        </w:tc>
      </w:tr>
    </w:tbl>
    <w:p/>
    <w:p>
      <w:pPr>
        <w:pStyle w:val="ListBullet"/>
      </w:pPr>
      <w:r>
        <w:rPr>
          <w:b/>
        </w:rPr>
        <w:t xml:space="preserve">Read: </w:t>
      </w:r>
      <w:r>
        <w:t>balanced add+top-up reaches the lowest PMF at fixed budget; pure top-up-heavy is worst (can't close coverage gaps); eager-add converges fastest but spreads thin. Retirement never fires: measured max effective count 99 &lt; the 150 gate (budget/scale) and 19/20 windows touch a weak edge (genuine conservatism).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_de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B4. Full pipeline: feedback (25 windows) → production epochs; windows grow as it adds, PMF falls as it tops up.</w:t>
      </w:r>
    </w:p>
    <w:p>
      <w:pPr>
        <w:pStyle w:val="Heading1"/>
      </w:pPr>
      <w:r>
        <w:rPr>
          <w:color w:val="1F4E79"/>
        </w:rPr>
        <w:t>5. Consolidated recommendations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Situation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Lean / GPU-constrained layout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Aggressive feedback @ 0.30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fewest windows at ~86% of top quality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Fidelity-critical layout, ample budget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Conservative feedback @ 0.45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best coverage/connectivity/PMF (~30% more windows)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Production epoch policy (default)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Add-then-top-up / weak-edge-triage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best PMF per sample; covers gaps and deepens sampling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Sparse handoff layout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Avoid pure top-up-heavy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more sampling cannot fix coverage gaps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Small / interruptible budget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Eager-add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fastest early PMF improvement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Window economy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Tune feedback / handoff density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production retirement rarely fires under add pressure</w:t>
            </w:r>
          </w:p>
        </w:tc>
      </w:tr>
    </w:tbl>
    <w:p/>
    <w:p>
      <w:r>
        <w:rPr>
          <w:i w:val="0"/>
        </w:rPr>
        <w:t>Independent of any strategy: ensure adequate sampling depth per window — the Langevin and ESS results both show reweighting fidelity is gated by sampling depth, not by the adaptive layout alone.</w:t>
      </w:r>
    </w:p>
    <w:p>
      <w:pPr>
        <w:pStyle w:val="Heading1"/>
      </w:pPr>
      <w:r>
        <w:rPr>
          <w:color w:val="1F4E79"/>
        </w:rPr>
        <w:t>6. Methodology, validation, caveats</w:t>
      </w:r>
    </w:p>
    <w:p>
      <w:pPr>
        <w:pStyle w:val="ListBullet"/>
      </w:pPr>
      <w:r>
        <w:rPr>
          <w:b/>
        </w:rPr>
        <w:t xml:space="preserve">Faithfulness: </w:t>
      </w:r>
      <w:r>
        <w:t>the adaptive decisions under test are shipped, unmodified GAREUS code; the harness owns only the thin round/epoch glue and the analytic models. Reported metrics are oracle-relative.</w:t>
      </w:r>
    </w:p>
    <w:p>
      <w:pPr>
        <w:pStyle w:val="ListBullet"/>
      </w:pPr>
      <w:r>
        <w:rPr>
          <w:b/>
        </w:rPr>
        <w:t xml:space="preserve">Validation: </w:t>
      </w:r>
      <w:r>
        <w:t>self-consistent MBAR recovers the PMF to ~0.06–0.10 kBT on exact samples; the dispatcher-overlap metric uses the shipped histogram functional (directly comparable to 0.30); 50 unit tests pin sampler, oracle, driver, and metric behavior.</w:t>
      </w:r>
    </w:p>
    <w:p>
      <w:pPr>
        <w:pStyle w:val="ListBullet"/>
      </w:pPr>
      <w:r>
        <w:rPr>
          <w:b/>
        </w:rPr>
        <w:t xml:space="preserve">Caveats: </w:t>
      </w:r>
      <w:r>
        <w:t>absolute overlap (~0.7 vs 0.30 target) carries a reduced-k vs contact-mode-k scale caveat — treat the over-resolution as a candidate lead, to confirm at a k-scale where 0.30 is achievable. The retire null result is part budget/ESS scale (max effective 99 &lt; 150 gate) and part genuine conservatism (bad-touching); a denser, well-sampled layout makes retire fire. Epoch strategies are ranked at a fixed budget; Langevin runs use fewer seeds by design.</w:t>
      </w:r>
    </w:p>
    <w:p>
      <w:pPr>
        <w:pStyle w:val="ListBullet"/>
      </w:pPr>
      <w:r>
        <w:rPr>
          <w:b/>
        </w:rPr>
        <w:t xml:space="preserve">Review status: </w:t>
      </w:r>
      <w:r>
        <w:t>an adversarial multi-agent review verified the feedback harness (14 findings fixed); the doubly-adaptive review’s verify phase was interrupted, so its findings beyond the manually-verified retire mechanism remain open.</w:t>
      </w:r>
    </w:p>
    <w:p/>
    <w:p>
      <w:r>
        <w:rPr>
          <w:color w:val="555555"/>
          <w:sz w:val="16"/>
        </w:rPr>
        <w:t>Source: gareus/synth/ (committed) · companion docs: GAREUS_synthetic_adaptive_harness.docx, GAREUS_strategy_comparison.docx, GAREUS_double_adaptive_strategies.docx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