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8"/>
        </w:rPr>
        <w:t>GAREUS CV-Space Exploration &amp; FES Recovery</w:t>
      </w:r>
    </w:p>
    <w:p>
      <w:pPr>
        <w:jc w:val="center"/>
      </w:pPr>
      <w:r>
        <w:rPr>
          <w:i/>
          <w:color w:val="555555"/>
          <w:sz w:val="22"/>
        </w:rPr>
        <w:t>Visual diagnostics from the synthetic adaptive-window harness</w:t>
      </w:r>
    </w:p>
    <w:p/>
    <w:p>
      <w:pPr>
        <w:pStyle w:val="Heading1"/>
      </w:pPr>
      <w:r>
        <w:rPr>
          <w:color w:val="1F4E79"/>
        </w:rPr>
        <w:t>How to read these panels</w:t>
      </w:r>
    </w:p>
    <w:p>
      <w:r>
        <w:rPr>
          <w:i w:val="0"/>
        </w:rPr>
        <w:t>Each landscape gets one four-panel figure produced by gareus.synth.report.plot_cv_space, from a synthetic adaptive-feedback campaign (exact sampler, aggressive policy) on the analytic surface:</w:t>
      </w:r>
    </w:p>
    <w:p>
      <w:pPr>
        <w:pStyle w:val="ListBullet"/>
      </w:pPr>
      <w:r>
        <w:rPr>
          <w:b/>
        </w:rPr>
        <w:t xml:space="preserve">Top-left — True FES + window placement: </w:t>
      </w:r>
      <w:r>
        <w:t>the analytic free energy F(cv1,cv2) in kBT (dark = low F = basins; red stars = declared basins); white dots are the windows the adaptive logic placed.</w:t>
      </w:r>
    </w:p>
    <w:p>
      <w:pPr>
        <w:pStyle w:val="ListBullet"/>
      </w:pPr>
      <w:r>
        <w:rPr>
          <w:b/>
        </w:rPr>
        <w:t xml:space="preserve">Top-right — Explored CV space: </w:t>
      </w:r>
      <w:r>
        <w:t>a density (hexbin) of every sample actually drawn, with the cyan contour marking the low-F region (F ≤ min+5 kBT) that exploration should cover.</w:t>
      </w:r>
    </w:p>
    <w:p>
      <w:pPr>
        <w:pStyle w:val="ListBullet"/>
      </w:pPr>
      <w:r>
        <w:rPr>
          <w:b/>
        </w:rPr>
        <w:t xml:space="preserve">Bottom-left — MBAR-recovered FES: </w:t>
      </w:r>
      <w:r>
        <w:t>the free energy reconstructed from the synthetic samples by self-consistent MBAR, over the explored region.</w:t>
      </w:r>
    </w:p>
    <w:p>
      <w:pPr>
        <w:pStyle w:val="ListBullet"/>
      </w:pPr>
      <w:r>
        <w:rPr>
          <w:b/>
        </w:rPr>
        <w:t xml:space="preserve">Bottom-right — Recovery error: </w:t>
      </w:r>
      <w:r>
        <w:t>recovered minus true F (offset-aligned); near-white = accurate, red/blue = over/under-estimate.</w:t>
      </w:r>
    </w:p>
    <w:p>
      <w:r>
        <w:rPr>
          <w:i/>
          <w:color w:val="555555"/>
        </w:rPr>
        <w:t>Together they answer: did windows land on the basins, did sampling cover the relevant (low-F) region, and is the free energy recovered there?</w:t>
      </w:r>
    </w:p>
    <w:p>
      <w:pPr>
        <w:pStyle w:val="Heading1"/>
      </w:pPr>
      <w:r>
        <w:rPr>
          <w:color w:val="1F4E79"/>
        </w:rPr>
        <w:t>mixture-wells</w:t>
      </w:r>
    </w:p>
    <w:p>
      <w:r>
        <w:rPr>
          <w:i w:val="0"/>
        </w:rPr>
        <w:t>Several Gaussian basins of varied depth/width plus a weak high-F decoy — the generic multi-basin case.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504957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vspace_mixture-well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50495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7"/>
        </w:rPr>
        <w:t>Figure. mixture-wells: low-F coverage 100%, ~15 windows, neighbour overlap 0.86, MBAR PMF-recovery error 0.04 kBT on the low-F region.</w:t>
      </w:r>
    </w:p>
    <w:p>
      <w:pPr>
        <w:pStyle w:val="Heading1"/>
      </w:pPr>
      <w:r>
        <w:rPr>
          <w:color w:val="1F4E79"/>
        </w:rPr>
        <w:t>gated-barrier</w:t>
      </w:r>
    </w:p>
    <w:p>
      <w:r>
        <w:rPr>
          <w:i w:val="0"/>
        </w:rPr>
        <w:t>Mixture wells with a CV1 ridge pierced by a single CV2 pass — tests whether exploration finds the one gate and bridges across it.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504957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vspace_gated-barri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50495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7"/>
        </w:rPr>
        <w:t>Figure. gated-barrier: low-F coverage 100%, ~25 windows, neighbour overlap 0.77, MBAR PMF-recovery error 0.05 kBT on the low-F region.</w:t>
      </w:r>
    </w:p>
    <w:p>
      <w:pPr>
        <w:pStyle w:val="Heading1"/>
      </w:pPr>
      <w:r>
        <w:rPr>
          <w:color w:val="1F4E79"/>
        </w:rPr>
        <w:t>banana-valley</w:t>
      </w:r>
    </w:p>
    <w:p>
      <w:r>
        <w:rPr>
          <w:i w:val="0"/>
        </w:rPr>
        <w:t>A curved low-F channel along cv2=0.7·sin(2π·cv1) — tests coverage of a non-rectangular, curved relevant region.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504957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vspace_banana-valle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50495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7"/>
        </w:rPr>
        <w:t>Figure. banana-valley: low-F coverage 100%, ~15 windows, neighbour overlap 0.89, MBAR PMF-recovery error 0.04 kBT on the low-F region.</w:t>
      </w:r>
    </w:p>
    <w:p>
      <w:pPr>
        <w:pStyle w:val="Heading1"/>
      </w:pPr>
      <w:r>
        <w:rPr>
          <w:color w:val="1F4E79"/>
        </w:rPr>
        <w:t>slow-cv2-double-branch</w:t>
      </w:r>
    </w:p>
    <w:p>
      <w:r>
        <w:rPr>
          <w:i w:val="0"/>
        </w:rPr>
        <w:t>Two CV2 wells split by a ~6 kBT saddle — tests whether both branches get covered (the hard, near-degenerate case).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504957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vspace_slow-cv2-double-branch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50495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7"/>
        </w:rPr>
        <w:t>Figure. slow-cv2-double-branch: low-F coverage 100%, ~30 windows, neighbour overlap 0.71, MBAR PMF-recovery error 0.03 kBT on the low-F region.</w:t>
      </w:r>
    </w:p>
    <w:p>
      <w:pPr>
        <w:pStyle w:val="Heading1"/>
      </w:pPr>
      <w:r>
        <w:rPr>
          <w:color w:val="1F4E79"/>
        </w:rPr>
        <w:t>Reading across the four cases</w:t>
      </w:r>
    </w:p>
    <w:p>
      <w:r>
        <w:rPr>
          <w:i w:val="0"/>
        </w:rPr>
        <w:t>The mixture-wells and gated-barrier panels show windows tiling the basins and exploration filling the cyan low-F region, with small recovery error. The banana-valley case shows whether the curved channel is followed rather than boxed. The slow-cv2-double-branch case is the stress test: exact sampling covers both CV2 branches (top-right shows density in both), whereas a short Langevin run would populate only one — the harness’s built-in way to expose non-ergodicity. Where the explored density does not fill the cyan contour, or the error map reddens, the campaign left part of the relevant surface under-sampled — exactly the failure the harness is meant to surface cheaply.</w:t>
      </w:r>
    </w:p>
    <w:p>
      <w:r>
        <w:rPr>
          <w:i/>
          <w:color w:val="555555"/>
        </w:rPr>
        <w:t>These panels are produced for any run via:  python -m gareus.synth --landscape &lt;name&gt; --plot &lt;dir&gt;  (writes &lt;name&gt;_cv_space.png alongside the campaign plots).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