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GAREUS Strategy Grid Sweeps (deep sampling)</w:t>
      </w:r>
    </w:p>
    <w:p>
      <w:pPr>
        <w:jc w:val="center"/>
      </w:pPr>
      <w:r>
        <w:rPr>
          <w:i/>
          <w:color w:val="555555"/>
          <w:sz w:val="21"/>
        </w:rPr>
        <w:t>Broad parameter grids at ~5× sample depth — feedback (7500 samples/window), double-adaptive (90,000-sample budget), full MBAR</w:t>
      </w:r>
    </w:p>
    <w:p/>
    <w:p>
      <w:pPr>
        <w:pStyle w:val="Heading1"/>
      </w:pPr>
      <w:r>
        <w:rPr>
          <w:color w:val="1F4E79"/>
        </w:rPr>
        <w:t>Why this run</w:t>
      </w:r>
    </w:p>
    <w:p>
      <w:r>
        <w:rPr>
          <w:i w:val="0"/>
        </w:rPr>
        <w:t>The earlier studies compared a handful of hand-picked strategies at moderate sampling. This run (a) deepens sampling ~5× so the MBAR free-energy estimates and per-window statistics are better converged, and (b) sweeps full parameter grids rather than discrete strategies, to map the response surface and confirm the earlier conclusions hold under richer statistics.</w:t>
      </w:r>
    </w:p>
    <w:p>
      <w:pPr>
        <w:pStyle w:val="Heading1"/>
      </w:pPr>
      <w:r>
        <w:rPr>
          <w:color w:val="1F4E79"/>
        </w:rPr>
        <w:t>Feedback grid — aggressiveness × overlap target</w:t>
      </w:r>
    </w:p>
    <w:p>
      <w:r>
        <w:rPr>
          <w:i w:val="0"/>
        </w:rPr>
        <w:t>Every cell is a feedback campaign averaged over 4 landscapes × 2 seeds at 7500 samples/window (full MBAR).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8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fb_he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Feedback grid heatmaps: composite, PMF recovery, economy ratio, window count.</w:t>
      </w:r>
    </w:p>
    <w:p>
      <w:r>
        <w:rPr>
          <w:i w:val="0"/>
        </w:rPr>
        <w:t>Best composite cell: very-aggressive @ overlap 0.45 (composite 0.904, PMF 0.031 kBT, economy 1.55, 4 windows).</w:t>
      </w:r>
    </w:p>
    <w:p>
      <w:r>
        <w:rPr>
          <w:i w:val="0"/>
        </w:rPr>
        <w:t>At this depth the PMF is recovered well in EVERY cell (0.022-0.034 kBT), so PMF no longer separates strategies — the composite is decided by economy (window count). Aggressive and very-aggressive are the clear winners (composite ~0.90 at only ~4 windows) and are robust to the overlap target. Conservative uses the most windows (6-9) for no PMF benefit, and balanced degrades at the tight 0.45 target (8.1 windows, composite 0.73).</w:t>
      </w:r>
    </w:p>
    <w:p>
      <w:r>
        <w:rPr>
          <w:i w:val="0"/>
          <w:color w:val="555555"/>
        </w:rPr>
        <w:t>This FLIPS the shallow-sampling study, where conservative/0.45 won: there its extra windows bought real PMF accuracy; here, with deep sampling, PMF is good regardless, so the extra windows are pure waste and lean aggressive wins. The optimal aggressiveness therefore depends on sampling depth — lean when sampling is deep, more conservative when it is shallow.</w:t>
      </w:r>
    </w:p>
    <w:p>
      <w:pPr>
        <w:pStyle w:val="Heading1"/>
      </w:pPr>
      <w:r>
        <w:rPr>
          <w:color w:val="1F4E79"/>
        </w:rPr>
        <w:t>Double-adaptive grid — add-cap × add/top-up balance × retire</w:t>
      </w:r>
    </w:p>
    <w:p>
      <w:r>
        <w:rPr>
          <w:i w:val="0"/>
        </w:rPr>
        <w:t>Every cell is a full feedback→production run on the frozen handoff layout, fixed 90,000-sample budget, averaged over 4 landscapes × 2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11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da_he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Double-adaptive grid (averaged over retire threshold): PMF recovery and window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01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da_reti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Retire threshold comparison.</w:t>
      </w:r>
    </w:p>
    <w:p>
      <w:r>
        <w:rPr>
          <w:i w:val="0"/>
        </w:rPr>
        <w:t>Best PMF cell: add≤1, topup balance, redundant_overlap 0.4 (PMF 0.218 kBT, 20 windows, connected 100%).</w:t>
      </w:r>
    </w:p>
    <w:p>
      <w:r>
        <w:rPr>
          <w:i w:val="0"/>
        </w:rPr>
        <w:t>At the 5x budget the PMF spread across all 18 cells is narrow (0.218-0.241 kBT) — abundant budget makes every policy decent. The lowest-PMF cell is add≤1 + top-up (0.218, ~20 windows): with ample budget on an adequately-covering handoff, concentrating sampling on FEWER windows beats spreading it across more (add≤8 grows to ~47 windows at slightly worse PMF).</w:t>
      </w:r>
    </w:p>
    <w:p>
      <w:r>
        <w:rPr>
          <w:i w:val="0"/>
          <w:color w:val="555555"/>
        </w:rPr>
        <w:t>This is the OPPOSITE of the shallow-budget study, where pure top-up was the WORST strategy because it could not close coverage gaps. So the best add/top-up balance depends on budget and handoff coverage: add aggressively when budget is tight or coverage is poor; top-up a few deep windows when budget is ample. The retire threshold (0.40 vs 0.60) makes no difference at all — retire never fires, confirmed again at 5x budget.</w:t>
      </w:r>
    </w:p>
    <w:p>
      <w:pPr>
        <w:pStyle w:val="Heading1"/>
      </w:pPr>
      <w:r>
        <w:rPr>
          <w:color w:val="1F4E79"/>
        </w:rPr>
        <w:t>Conclusions</w:t>
      </w:r>
    </w:p>
    <w:p>
      <w:pPr>
        <w:pStyle w:val="ListBullet"/>
      </w:pPr>
      <w:r>
        <w:rPr>
          <w:b/>
        </w:rPr>
        <w:t xml:space="preserve">Depth is the dominant lever: </w:t>
      </w:r>
      <w:r>
        <w:t>at 5x samples every strategy recovers the PMF to &lt;0.04 kBT (feedback) and ~0.22 kBT (double-adaptive); strategy choice matters far less than depth. This confirms the precision-limited picture — buy depth before cleverness.</w:t>
      </w:r>
    </w:p>
    <w:p>
      <w:pPr>
        <w:pStyle w:val="ListBullet"/>
      </w:pPr>
      <w:r>
        <w:rPr>
          <w:b/>
        </w:rPr>
        <w:t xml:space="preserve">The best strategy is regime-dependent: </w:t>
      </w:r>
      <w:r>
        <w:t>lean-aggressive feedback and low-add/top-up production win when sampling is deep; the shallow studies favored more windows / more adding. Tune the policy to your budget, not to a universal best.</w:t>
      </w:r>
    </w:p>
    <w:p>
      <w:pPr>
        <w:pStyle w:val="ListBullet"/>
      </w:pPr>
      <w:r>
        <w:rPr>
          <w:b/>
        </w:rPr>
        <w:t xml:space="preserve">Over-resolution is real: </w:t>
      </w:r>
      <w:r>
        <w:t>neighbour overlap stays 0.71-0.82 (vs the 0.30 target) and economy 1.5-1.64 even at deep sampling — so it is a genuine dispatcher calibration property, not a low-sampling artifact (the reduced-k scale caveat still applies to the absolute number).</w:t>
      </w:r>
    </w:p>
    <w:p>
      <w:pPr>
        <w:pStyle w:val="ListBullet"/>
      </w:pPr>
      <w:r>
        <w:rPr>
          <w:b/>
        </w:rPr>
        <w:t xml:space="preserve">Retire is inert: </w:t>
      </w:r>
      <w:r>
        <w:t>identical results at redundant_overlap 0.40 vs 0.60 across the whole grid and at 5x budget. Window economy must come from the feedback/handoff layout, not from production retirement.</w:t>
      </w:r>
    </w:p>
    <w:p>
      <w:pPr>
        <w:pStyle w:val="ListBullet"/>
      </w:pPr>
      <w:r>
        <w:rPr>
          <w:b/>
        </w:rPr>
        <w:t xml:space="preserve">Implication for runs3: </w:t>
      </w:r>
      <w:r>
        <w:t>the runs3 allocation (lean window cap + depth-favoring final fraction) is the right direction; this deep-sampling grid reinforces capping windows and spending the budget on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