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CVT vs Linspace: 16-Replica chaos_2d Comparison, 5 Epochs</w:t>
      </w:r>
    </w:p>
    <w:p>
      <w:r>
        <w:t>chaos_2d (24 sub-basins, 18 kBT CV1 + 10 kBT CV2 barriers, 10 noise traps) · R=16 · 5 epochs · 30M total samples (6M/epoch) · MBAR cap 15k/window · 1 seed · 1161s</w:t>
      </w:r>
    </w:p>
    <w:p>
      <w:pPr>
        <w:pStyle w:val="Heading1"/>
      </w:pPr>
      <w:r>
        <w:t>chaos_2d Landscape</w:t>
      </w:r>
    </w:p>
    <w:p>
      <w:r>
        <w:t>8 CV1 basins (varied depth/width) × 3 CV2 wells = 24 sub-basins. Main CV1 barrier: 18 kBT (vs ~14 kBT in rugged_2d). Secondary CV1 barrier: 10 kBT, CV2-dependent (tallest at CV2~0, half-height at CV2 extremes — requires diagonal bridging, not just axis-aligned ladders). CV2 barrier: 10 kBT at 0 + 5 kBT saddle at +0.33 (4 effective CV2 zones). 10 noise Gaussians (3–5 kBT) as reproducible metastable traps scattered across the surface.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2d_fig0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Initial Placement: R=16</w:t>
      </w:r>
    </w:p>
    <w:p>
      <w:r>
        <w:t>Linspace (farthest-point greedy): k=22. Oracle CVT (Lloyd 30 iterations): k=22. Both k values calibrated to their own centers via calibrate_k_2d (target overlap 0.30).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2d_fig1_initial_plac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Epoch Convergence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2d_fig2_epoch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2d_fig5_window_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Results (after 5 epochs)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2d_fig3_final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Final RMSE (kBT)</w:t>
            </w:r>
          </w:p>
        </w:tc>
        <w:tc>
          <w:tcPr>
            <w:tcW w:type="dxa" w:w="1728"/>
          </w:tcPr>
          <w:p>
            <w:r>
              <w:t>Final coverage</w:t>
            </w:r>
          </w:p>
        </w:tc>
        <w:tc>
          <w:tcPr>
            <w:tcW w:type="dxa" w:w="1728"/>
          </w:tcPr>
          <w:p>
            <w:r>
              <w:t>Final windows</w:t>
            </w:r>
          </w:p>
        </w:tc>
        <w:tc>
          <w:tcPr>
            <w:tcW w:type="dxa" w:w="1728"/>
          </w:tcPr>
          <w:p>
            <w:r>
              <w:t>Budget spent</w:t>
            </w:r>
          </w:p>
        </w:tc>
      </w:tr>
      <w:tr>
        <w:tc>
          <w:tcPr>
            <w:tcW w:type="dxa" w:w="1728"/>
          </w:tcPr>
          <w:p>
            <w:r>
              <w:t>Fixed Linspace</w:t>
            </w:r>
          </w:p>
        </w:tc>
        <w:tc>
          <w:tcPr>
            <w:tcW w:type="dxa" w:w="1728"/>
          </w:tcPr>
          <w:p>
            <w:r>
              <w:t>0.1874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30.0M</w:t>
            </w:r>
          </w:p>
        </w:tc>
      </w:tr>
      <w:tr>
        <w:tc>
          <w:tcPr>
            <w:tcW w:type="dxa" w:w="1728"/>
          </w:tcPr>
          <w:p>
            <w:r>
              <w:t>Fixed Oracle CVT</w:t>
            </w:r>
          </w:p>
        </w:tc>
        <w:tc>
          <w:tcPr>
            <w:tcW w:type="dxa" w:w="1728"/>
          </w:tcPr>
          <w:p>
            <w:r>
              <w:t>0.1909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30.0M</w:t>
            </w:r>
          </w:p>
        </w:tc>
      </w:tr>
      <w:tr>
        <w:tc>
          <w:tcPr>
            <w:tcW w:type="dxa" w:w="1728"/>
          </w:tcPr>
          <w:p>
            <w:r>
              <w:t>Adaptive Linspace</w:t>
            </w:r>
          </w:p>
        </w:tc>
        <w:tc>
          <w:tcPr>
            <w:tcW w:type="dxa" w:w="1728"/>
          </w:tcPr>
          <w:p>
            <w:r>
              <w:t>0.1997</w:t>
            </w:r>
          </w:p>
        </w:tc>
        <w:tc>
          <w:tcPr>
            <w:tcW w:type="dxa" w:w="1728"/>
          </w:tcPr>
          <w:p>
            <w:r>
              <w:t>0.987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30.0M</w:t>
            </w:r>
          </w:p>
        </w:tc>
      </w:tr>
      <w:tr>
        <w:tc>
          <w:tcPr>
            <w:tcW w:type="dxa" w:w="1728"/>
          </w:tcPr>
          <w:p>
            <w:r>
              <w:t>Adaptive Oracle CVT</w:t>
            </w:r>
          </w:p>
        </w:tc>
        <w:tc>
          <w:tcPr>
            <w:tcW w:type="dxa" w:w="1728"/>
          </w:tcPr>
          <w:p>
            <w:r>
              <w:t>0.1972</w:t>
            </w:r>
          </w:p>
        </w:tc>
        <w:tc>
          <w:tcPr>
            <w:tcW w:type="dxa" w:w="1728"/>
          </w:tcPr>
          <w:p>
            <w:r>
              <w:t>0.991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30.0M</w:t>
            </w:r>
          </w:p>
        </w:tc>
      </w:tr>
    </w:tbl>
    <w:p>
      <w:pPr>
        <w:pStyle w:val="Heading1"/>
      </w:pPr>
      <w:r>
        <w:t>2D FES Recovery</w:t>
      </w:r>
    </w:p>
    <w:p>
      <w:r>
        <w:drawing>
          <wp:inline xmlns:a="http://schemas.openxmlformats.org/drawingml/2006/main" xmlns:pic="http://schemas.openxmlformats.org/drawingml/2006/picture">
            <wp:extent cx="5943600" cy="4086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os2d_fig4_fes_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Answer</w:t>
      </w:r>
    </w:p>
    <w:p>
      <w:r>
        <w:t>Best strategy: Fixed Linspace (RMSE = 0.1874 kBT).</w:t>
        <w:br/>
        <w:t>Worst strategy: Adaptive Linspace (RMSE = 0.1997 kBT).</w:t>
        <w:br/>
        <w:br/>
        <w:t>Oracle placement gain (fixed): -1.9% vs fixed linspace (0.1909 vs 0.1874 kBT).</w:t>
        <w:br/>
        <w:t>Oracle placement gain (adaptive): +1.2% vs adaptive linspace (0.1972 vs 0.1997 kBT).</w:t>
        <w:br/>
        <w:t>Adaptive gain for linspace initial: -6.6%.</w:t>
        <w:br/>
        <w:t>Adaptive gain for oracle initial: -3.3%.</w:t>
        <w:br/>
        <w:br/>
        <w:t>Key question — does oracle seeding help adaptive runs? Oracle CVT covers sub-basins more uniformly at epoch 1; the adaptive loop then corrects misplacements. If oracle seeding gives fewer corrections needed, the budget is better spent sampling than repositioning.</w:t>
      </w:r>
    </w:p>
    <w:p>
      <w:pPr>
        <w:pStyle w:val="Heading1"/>
      </w:pPr>
      <w:r>
        <w:t>Caveats</w:t>
      </w:r>
    </w:p>
    <w:p>
      <w:r>
        <w:t>1 seed (compute cost); exact sampler (no kinetic trapping). MBAR cap 15k/window; floor partly cap-limited. chaos_2d has 24 sub-basins — with R=16 windows many cells share coverage, so PMF RMSE reflects both coverage gaps AND over-smoothing at barriers. The secondary CV1 barrier is CV2-dependent; purely CV1-axis placement misses the diagonal bridging required to connect basins across both axes.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