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Oracle CVT vs Linspace 2D Placement at 50× Budget</w:t>
      </w:r>
    </w:p>
    <w:p>
      <w:r>
        <w:t>Oracle (Lloyd CVT) vs farthest-point linspace on rugged-2d, 0.9M–15M samples, MBAR cap 15k/window</w:t>
      </w:r>
      <w:r>
        <w:br/>
        <w:t>R=1..12 · budgets 5 levels · 1 seed · 1601.3s</w:t>
      </w:r>
    </w:p>
    <w:p>
      <w:pPr>
        <w:pStyle w:val="Heading1"/>
      </w:pPr>
      <w:r>
        <w:t>Setup</w:t>
      </w:r>
    </w:p>
    <w:p>
      <w:r>
        <w:t>Comparison of two 2D window placement strategies at fixed (R, budget), same rugged-2d landscape as the retire comparison (6 CV1 basins, ~14 kBT CV1 barrier, CV2 double-well + ~7 kBT CV2 barrier; 12 low-F sub-basins). Same sample budgets (0.9M–15M), same MBAR cap (15k/window), 1 seed.</w:t>
        <w:br/>
        <w:br/>
        <w:t>Three strategies:</w:t>
        <w:br/>
        <w:t xml:space="preserve">  LINSPACE — place_windows_2d (farthest-point greedy, current default); k calibrated to own centers via calibrate_k_2d.</w:t>
        <w:br/>
        <w:t xml:space="preserve">  ORACLE — oracle_optimal_centers_2d (Lloyd CVT: farthest-point init + iterative Voronoi centroid refinement onto nearest low-F grid point); k calibrated to own centers.</w:t>
        <w:br/>
        <w:t xml:space="preserve">  ORACLE-FK — Lloyd CVT positions at linspace fair-k (position-only gain, same ESS cost as linspace).</w:t>
      </w:r>
    </w:p>
    <w:p>
      <w:pPr>
        <w:pStyle w:val="Heading1"/>
      </w:pPr>
      <w:r>
        <w:t>Results</w:t>
      </w:r>
    </w:p>
    <w:p>
      <w:pPr>
        <w:pStyle w:val="Caption"/>
      </w:pPr>
      <w:r>
        <w:t>Figure: fig1 pmf vs r.</w:t>
      </w:r>
    </w:p>
    <w:p>
      <w:r>
        <w:drawing>
          <wp:inline xmlns:a="http://schemas.openxmlformats.org/drawingml/2006/main" xmlns:pic="http://schemas.openxmlformats.org/drawingml/2006/picture">
            <wp:extent cx="594360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2d_fig1_pmf_vs_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fig2 delta pmf.</w:t>
      </w:r>
    </w:p>
    <w:p>
      <w:r>
        <w:drawing>
          <wp:inline xmlns:a="http://schemas.openxmlformats.org/drawingml/2006/main" xmlns:pic="http://schemas.openxmlformats.org/drawingml/2006/picture">
            <wp:extent cx="5943600" cy="1188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2d_fig2_delta_pm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fig3 pmf vs budget.</w:t>
      </w:r>
    </w:p>
    <w:p>
      <w:r>
        <w:drawing>
          <wp:inline xmlns:a="http://schemas.openxmlformats.org/drawingml/2006/main" xmlns:pic="http://schemas.openxmlformats.org/drawingml/2006/picture">
            <wp:extent cx="594360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2d_fig3_pmf_vs_bud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Figure: fig4 coverage.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2d_fig4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Recovered PMF</w:t>
      </w:r>
    </w:p>
    <w:p>
      <w:r>
        <w:t>2D FES recovery at the top budget (15M samples), R=12: linspace RMSE = 0.1991 kBT, oracle CVT RMSE = 0.2064 kBT. Gain = -3.7%.</w:t>
      </w:r>
    </w:p>
    <w:p>
      <w:r>
        <w:drawing>
          <wp:inline xmlns:a="http://schemas.openxmlformats.org/drawingml/2006/main" xmlns:pic="http://schemas.openxmlformats.org/drawingml/2006/picture">
            <wp:extent cx="5943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2d_fig5_fes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Best R per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Best R (linspace)</w:t>
            </w:r>
          </w:p>
        </w:tc>
        <w:tc>
          <w:tcPr>
            <w:tcW w:type="dxa" w:w="2160"/>
          </w:tcPr>
          <w:p>
            <w:r>
              <w:t>Best R (oracle)</w:t>
            </w:r>
          </w:p>
        </w:tc>
        <w:tc>
          <w:tcPr>
            <w:tcW w:type="dxa" w:w="2160"/>
          </w:tcPr>
          <w:p>
            <w:r>
              <w:t>RMSE Δ at best</w:t>
            </w:r>
          </w:p>
        </w:tc>
      </w:tr>
      <w:tr>
        <w:tc>
          <w:tcPr>
            <w:tcW w:type="dxa" w:w="2160"/>
          </w:tcPr>
          <w:p>
            <w:r>
              <w:t>0.9M</w:t>
            </w:r>
          </w:p>
        </w:tc>
        <w:tc>
          <w:tcPr>
            <w:tcW w:type="dxa" w:w="2160"/>
          </w:tcPr>
          <w:p>
            <w:r>
              <w:t>R=8 (0.2479 kBT)</w:t>
            </w:r>
          </w:p>
        </w:tc>
        <w:tc>
          <w:tcPr>
            <w:tcW w:type="dxa" w:w="2160"/>
          </w:tcPr>
          <w:p>
            <w:r>
              <w:t>R=5 (0.2697 kBT)</w:t>
            </w:r>
          </w:p>
        </w:tc>
        <w:tc>
          <w:tcPr>
            <w:tcW w:type="dxa" w:w="2160"/>
          </w:tcPr>
          <w:p>
            <w:r>
              <w:t>+0.0218 kBT</w:t>
            </w:r>
          </w:p>
        </w:tc>
      </w:tr>
      <w:tr>
        <w:tc>
          <w:tcPr>
            <w:tcW w:type="dxa" w:w="2160"/>
          </w:tcPr>
          <w:p>
            <w:r>
              <w:t>1.0M</w:t>
            </w:r>
          </w:p>
        </w:tc>
        <w:tc>
          <w:tcPr>
            <w:tcW w:type="dxa" w:w="2160"/>
          </w:tcPr>
          <w:p>
            <w:r>
              <w:t>R=11 (0.2418 kBT)</w:t>
            </w:r>
          </w:p>
        </w:tc>
        <w:tc>
          <w:tcPr>
            <w:tcW w:type="dxa" w:w="2160"/>
          </w:tcPr>
          <w:p>
            <w:r>
              <w:t>R=11 (0.2677 kBT)</w:t>
            </w:r>
          </w:p>
        </w:tc>
        <w:tc>
          <w:tcPr>
            <w:tcW w:type="dxa" w:w="2160"/>
          </w:tcPr>
          <w:p>
            <w:r>
              <w:t>+0.0258 kBT</w:t>
            </w:r>
          </w:p>
        </w:tc>
      </w:tr>
      <w:tr>
        <w:tc>
          <w:tcPr>
            <w:tcW w:type="dxa" w:w="2160"/>
          </w:tcPr>
          <w:p>
            <w:r>
              <w:t>3.0M</w:t>
            </w:r>
          </w:p>
        </w:tc>
        <w:tc>
          <w:tcPr>
            <w:tcW w:type="dxa" w:w="2160"/>
          </w:tcPr>
          <w:p>
            <w:r>
              <w:t>R=12 (0.1998 kBT)</w:t>
            </w:r>
          </w:p>
        </w:tc>
        <w:tc>
          <w:tcPr>
            <w:tcW w:type="dxa" w:w="2160"/>
          </w:tcPr>
          <w:p>
            <w:r>
              <w:t>R=12 (0.2037 kBT)</w:t>
            </w:r>
          </w:p>
        </w:tc>
        <w:tc>
          <w:tcPr>
            <w:tcW w:type="dxa" w:w="2160"/>
          </w:tcPr>
          <w:p>
            <w:r>
              <w:t>+0.0039 kBT</w:t>
            </w:r>
          </w:p>
        </w:tc>
      </w:tr>
      <w:tr>
        <w:tc>
          <w:tcPr>
            <w:tcW w:type="dxa" w:w="2160"/>
          </w:tcPr>
          <w:p>
            <w:r>
              <w:t>7.0M</w:t>
            </w:r>
          </w:p>
        </w:tc>
        <w:tc>
          <w:tcPr>
            <w:tcW w:type="dxa" w:w="2160"/>
          </w:tcPr>
          <w:p>
            <w:r>
              <w:t>R=12 (0.1967 kBT)</w:t>
            </w:r>
          </w:p>
        </w:tc>
        <w:tc>
          <w:tcPr>
            <w:tcW w:type="dxa" w:w="2160"/>
          </w:tcPr>
          <w:p>
            <w:r>
              <w:t>R=12 (0.2081 kBT)</w:t>
            </w:r>
          </w:p>
        </w:tc>
        <w:tc>
          <w:tcPr>
            <w:tcW w:type="dxa" w:w="2160"/>
          </w:tcPr>
          <w:p>
            <w:r>
              <w:t>+0.0114 kBT</w:t>
            </w:r>
          </w:p>
        </w:tc>
      </w:tr>
      <w:tr>
        <w:tc>
          <w:tcPr>
            <w:tcW w:type="dxa" w:w="2160"/>
          </w:tcPr>
          <w:p>
            <w:r>
              <w:t>15.0M</w:t>
            </w:r>
          </w:p>
        </w:tc>
        <w:tc>
          <w:tcPr>
            <w:tcW w:type="dxa" w:w="2160"/>
          </w:tcPr>
          <w:p>
            <w:r>
              <w:t>R=12 (0.1963 kBT)</w:t>
            </w:r>
          </w:p>
        </w:tc>
        <w:tc>
          <w:tcPr>
            <w:tcW w:type="dxa" w:w="2160"/>
          </w:tcPr>
          <w:p>
            <w:r>
              <w:t>R=12 (0.2055 kBT)</w:t>
            </w:r>
          </w:p>
        </w:tc>
        <w:tc>
          <w:tcPr>
            <w:tcW w:type="dxa" w:w="2160"/>
          </w:tcPr>
          <w:p>
            <w:r>
              <w:t>+0.0092 kBT</w:t>
            </w:r>
          </w:p>
        </w:tc>
      </w:tr>
    </w:tbl>
    <w:p>
      <w:pPr>
        <w:pStyle w:val="Heading1"/>
      </w:pPr>
      <w:r>
        <w:t>Answer</w:t>
      </w:r>
    </w:p>
    <w:p>
      <w:r>
        <w:t>Position-only gain (oracle CVT positions at linspace k): mean ΔPMF = -0.0099 kBT across R=1..12 at top budget (negative = oracle better). This isolates the pure placement benefit of Lloyd CVT over farthest-point.</w:t>
        <w:br/>
        <w:br/>
        <w:t>Full oracle (own calibrated k): mean ΔPMF = +0.0028 kBT. The sign and magnitude reveal whether the k-tradeoff (oracle k ≠ linspace k) helps or hurts.</w:t>
        <w:br/>
        <w:br/>
        <w:t>Coverage: oracle CVT tends to distribute windows more uniformly across the 12 low-F sub-basins than farthest-point, which can improve coverage at low R where a single misplaced window leaves a basin unsampled.</w:t>
      </w:r>
    </w:p>
    <w:p>
      <w:pPr>
        <w:pStyle w:val="Heading1"/>
      </w:pPr>
      <w:r>
        <w:t>Caveats</w:t>
      </w:r>
    </w:p>
    <w:p>
      <w:r>
        <w:t>MBAR uses a 15k/window cap; beyond it the metric is cap-limited, so the floor is partly the cap + res=90 grid (same as retire comparison).</w:t>
        <w:br/>
        <w:t>1 seed at 50× (compute); exact sampler + ESS/burn-in cost model; absolute numbers synthetic-scale.</w:t>
        <w:br/>
        <w:t>oracle_optimal_centers_2d uses res=60 grid for CVT (vs res=90 for sampling); sufficient for 2D placement but centers are rounded to grid points.</w:t>
        <w:br/>
        <w:t>Oracle CVT iterates 30 Lloyd rounds; convergence is typically reached in &lt;15 for R≤12.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