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Comparing 10 Adaptive Window-Placement Strategies</w:t>
      </w:r>
    </w:p>
    <w:p>
      <w:pPr>
        <w:jc w:val="center"/>
      </w:pPr>
      <w:r>
        <w:rPr>
          <w:i/>
          <w:color w:val="555555"/>
          <w:sz w:val="22"/>
        </w:rPr>
        <w:t>An analytic study with the GAREUS synthetic adaptive-window harness</w:t>
      </w:r>
    </w:p>
    <w:p>
      <w:pPr>
        <w:jc w:val="center"/>
      </w:pPr>
      <w:r>
        <w:rPr>
          <w:color w:val="555555"/>
          <w:sz w:val="18"/>
        </w:rPr>
        <w:t>4 landscapes · 4 rounds · seeds averaged · no MD · 1093.5s compute</w:t>
      </w:r>
    </w:p>
    <w:p/>
    <w:p>
      <w:pPr>
        <w:pStyle w:val="Heading1"/>
      </w:pPr>
      <w:r>
        <w:rPr>
          <w:color w:val="1F4E79"/>
        </w:rPr>
        <w:t>Executive summary</w:t>
      </w:r>
    </w:p>
    <w:p>
      <w:r>
        <w:rPr>
          <w:i w:val="0"/>
        </w:rPr>
        <w:t>Ten adaptive-feedback policy strategies — combinations of aggressiveness (conservative → very-aggressive), neighbour-overlap target (0.20 / 0.30 / 0.45), and sampler (exact / Langevin) — were run through the synthetic harness on all four analytic landscapes and scored against the grid oracle. No molecular dynamics was used; the whole study took 1093.5 s.</w:t>
      </w:r>
    </w:p>
    <w:p>
      <w:r>
        <w:rPr>
          <w:i w:val="0"/>
        </w:rPr>
        <w:t>Winner: S08 (Conservative / 0.45 (safest)) with composite 0.766. Lowest: S09 (Balanced / 0.30 (Langevin)) at 0.462. The ranking is driven by the trade-off between sampling quality (coverage, connectivity, accuracy, PMF recovery) and cost-efficiency (window economy, rounds to converge).</w:t>
      </w:r>
    </w:p>
    <w:p>
      <w:pPr>
        <w:pStyle w:val="Heading1"/>
      </w:pPr>
      <w:r>
        <w:rPr>
          <w:color w:val="1F4E79"/>
        </w:rPr>
        <w:t>Method</w:t>
      </w:r>
    </w:p>
    <w:p>
      <w:r>
        <w:rPr>
          <w:i w:val="0"/>
        </w:rPr>
        <w:t>Each strategy is a configuration passed to the real adaptive-feedback dispatcher (run_adaptive_feedback_dispatcher_2d) via the harness. All strategies start from the SAME over-dense 6×2 window layout so the policy must do real work (prune, shift, re-tune):</w:t>
      </w:r>
    </w:p>
    <w:p>
      <w:pPr>
        <w:ind w:left="288"/>
      </w:pPr>
      <w:r>
        <w:rPr>
          <w:rFonts w:ascii="Consolas" w:hAnsi="Consolas"/>
          <w:sz w:val="17"/>
        </w:rPr>
        <w:t>initial CV1 centers [0.15,0.30,0.45,0.60,0.75,0.90] k=60 ; CV2 centers [-0.5,0.5] k=50</w:t>
      </w:r>
    </w:p>
    <w:p>
      <w:r>
        <w:rPr>
          <w:i w:val="0"/>
        </w:rPr>
        <w:t>Each strategy is evaluated on all four landscapes (mixture-wells, gated-barrier, banana-valley, slow-cv2-double-branch) over multiple seeds; metrics are averaged. Six sub-scores in [0,1] (higher = better) are combined into a composite (equal weight):</w:t>
      </w:r>
    </w:p>
    <w:p>
      <w:pPr>
        <w:pStyle w:val="ListBullet"/>
      </w:pPr>
      <w:r>
        <w:rPr>
          <w:b/>
        </w:rPr>
        <w:t xml:space="preserve">Coverage — </w:t>
      </w:r>
      <w:r>
        <w:t>fraction of the low-F region within reach of a window.</w:t>
      </w:r>
    </w:p>
    <w:p>
      <w:pPr>
        <w:pStyle w:val="ListBullet"/>
      </w:pPr>
      <w:r>
        <w:rPr>
          <w:b/>
        </w:rPr>
        <w:t xml:space="preserve">Connectivity — </w:t>
      </w:r>
      <w:r>
        <w:t>fraction of runs whose neighbour-overlap graph stayed connected.</w:t>
      </w:r>
    </w:p>
    <w:p>
      <w:pPr>
        <w:pStyle w:val="ListBullet"/>
      </w:pPr>
      <w:r>
        <w:rPr>
          <w:b/>
        </w:rPr>
        <w:t xml:space="preserve">Accuracy — </w:t>
      </w:r>
      <w:r>
        <w:t>fraction of runs whose window count moved toward the oracle’s minimal count.</w:t>
      </w:r>
    </w:p>
    <w:p>
      <w:pPr>
        <w:pStyle w:val="ListBullet"/>
      </w:pPr>
      <w:r>
        <w:rPr>
          <w:b/>
        </w:rPr>
        <w:t xml:space="preserve">PMF — </w:t>
      </w:r>
      <w:r>
        <w:t>exp(−RMSE/0.5) of the MBAR-reweighted PMF vs the true profile (low-F weighted).</w:t>
      </w:r>
    </w:p>
    <w:p>
      <w:pPr>
        <w:pStyle w:val="ListBullet"/>
      </w:pPr>
      <w:r>
        <w:rPr>
          <w:b/>
        </w:rPr>
        <w:t xml:space="preserve">Economy — </w:t>
      </w:r>
      <w:r>
        <w:t>exp(−|ratio−1|) of windows-used vs oracle-minimal (penalises both waste and gaps).</w:t>
      </w:r>
    </w:p>
    <w:p>
      <w:pPr>
        <w:pStyle w:val="ListBullet"/>
      </w:pPr>
      <w:r>
        <w:rPr>
          <w:b/>
        </w:rPr>
        <w:t xml:space="preserve">Efficiency — </w:t>
      </w:r>
      <w:r>
        <w:t>fewer rounds to converge.</w:t>
      </w:r>
    </w:p>
    <w:p>
      <w:r>
        <w:rPr>
          <w:i/>
          <w:color w:val="555555"/>
        </w:rPr>
        <w:t>Quality = mean(coverage, connectivity, accuracy, PMF); Cost-efficiency = mean(economy, efficiency); Composite = mean of all six.</w:t>
      </w:r>
    </w:p>
    <w:p>
      <w:pPr>
        <w:pStyle w:val="Heading2"/>
      </w:pPr>
      <w:r>
        <w:rPr>
          <w:color w:val="1F4E79"/>
        </w:rPr>
        <w:t>The ten strategies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720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3312"/>
          </w:tcPr>
          <w:p>
            <w:r/>
            <w:r>
              <w:rPr>
                <w:b/>
                <w:sz w:val="17"/>
              </w:rPr>
              <w:t>Strategy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7"/>
              </w:rPr>
              <w:t>Aggressiveness</w:t>
            </w:r>
          </w:p>
        </w:tc>
        <w:tc>
          <w:tcPr>
            <w:tcW w:type="dxa" w:w="1152"/>
          </w:tcPr>
          <w:p>
            <w:r/>
            <w:r>
              <w:rPr>
                <w:b/>
                <w:sz w:val="17"/>
              </w:rPr>
              <w:t>Target</w:t>
            </w:r>
          </w:p>
        </w:tc>
        <w:tc>
          <w:tcPr>
            <w:tcW w:type="dxa" w:w="1440"/>
          </w:tcPr>
          <w:p>
            <w:r/>
            <w:r>
              <w:rPr>
                <w:b/>
                <w:sz w:val="17"/>
              </w:rPr>
              <w:t>Sampler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onsolas" w:hAnsi="Consolas"/>
                <w:sz w:val="16"/>
              </w:rPr>
              <w:t>S01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Conservative / 0.3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conservative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0.3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exact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onsolas" w:hAnsi="Consolas"/>
                <w:sz w:val="16"/>
              </w:rPr>
              <w:t>S02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Balanced / 0.3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balanced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0.3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exact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onsolas" w:hAnsi="Consolas"/>
                <w:sz w:val="16"/>
              </w:rPr>
              <w:t>S03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Aggressive / 0.3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aggressive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0.3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exact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onsolas" w:hAnsi="Consolas"/>
                <w:sz w:val="16"/>
              </w:rPr>
              <w:t>S04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Very-aggressive / 0.3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very-aggressive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0.3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exact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onsolas" w:hAnsi="Consolas"/>
                <w:sz w:val="16"/>
              </w:rPr>
              <w:t>S05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Balanced / 0.2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balanced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0.2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exact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onsolas" w:hAnsi="Consolas"/>
                <w:sz w:val="16"/>
              </w:rPr>
              <w:t>S06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Balanced / 0.45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balanced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0.45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exact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onsolas" w:hAnsi="Consolas"/>
                <w:sz w:val="16"/>
              </w:rPr>
              <w:t>S07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Aggressive / 0.2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aggressive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0.2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exact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onsolas" w:hAnsi="Consolas"/>
                <w:sz w:val="16"/>
              </w:rPr>
              <w:t>S08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Conservative / 0.45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conservative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0.45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exact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onsolas" w:hAnsi="Consolas"/>
                <w:sz w:val="16"/>
              </w:rPr>
              <w:t>S09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Balanced / 0.3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balanced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0.3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langevin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Consolas" w:hAnsi="Consolas"/>
                <w:sz w:val="16"/>
              </w:rPr>
              <w:t>S10</w:t>
            </w:r>
          </w:p>
        </w:tc>
        <w:tc>
          <w:tcPr>
            <w:tcW w:type="dxa" w:w="3312"/>
          </w:tcPr>
          <w:p>
            <w:r/>
            <w:r>
              <w:rPr>
                <w:sz w:val="16"/>
              </w:rPr>
              <w:t>Aggressive / 0.2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aggressive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0.2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langevin</w:t>
            </w:r>
          </w:p>
        </w:tc>
      </w:tr>
    </w:tbl>
    <w:p/>
    <w:p>
      <w:pPr>
        <w:pStyle w:val="Heading1"/>
      </w:pPr>
      <w:r>
        <w:rPr>
          <w:color w:val="1F4E79"/>
        </w:rPr>
        <w:t>Results</w:t>
      </w:r>
    </w:p>
    <w:p>
      <w:pPr>
        <w:pStyle w:val="Heading2"/>
      </w:pPr>
      <w:r>
        <w:rPr>
          <w:color w:val="1F4E79"/>
        </w:rPr>
        <w:t>Overall ranking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204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rank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20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1. Composite score per strategy (averaged over 4 landscapes × seeds).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38792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tradeof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79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2. Quality vs cost-efficiency. Upper-right is best; colour = composite.</w:t>
      </w:r>
    </w:p>
    <w:p>
      <w:pPr>
        <w:pStyle w:val="Heading2"/>
      </w:pPr>
      <w:r>
        <w:rPr>
          <w:color w:val="1F4E79"/>
        </w:rPr>
        <w:t>Aggregate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648"/>
          </w:tcPr>
          <w:p>
            <w:r/>
            <w:r>
              <w:rPr>
                <w:b/>
                <w:sz w:val="17"/>
              </w:rPr>
              <w:t>ID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7"/>
              </w:rPr>
              <w:t>Composite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7"/>
              </w:rPr>
              <w:t>Qual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7"/>
              </w:rPr>
              <w:t>Cost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7"/>
              </w:rPr>
              <w:t>#win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7"/>
              </w:rPr>
              <w:t>overlap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7"/>
              </w:rPr>
              <w:t>econ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7"/>
              </w:rPr>
              <w:t>PMF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7"/>
              </w:rPr>
              <w:t>conn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7"/>
              </w:rPr>
              <w:t>rounds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Consolas" w:hAnsi="Consolas"/>
                <w:b/>
                <w:sz w:val="16"/>
              </w:rPr>
              <w:t>S08</w:t>
            </w:r>
          </w:p>
        </w:tc>
        <w:tc>
          <w:tcPr>
            <w:tcW w:type="dxa" w:w="1224"/>
          </w:tcPr>
          <w:p>
            <w:r/>
            <w:r>
              <w:rPr>
                <w:b/>
                <w:sz w:val="16"/>
              </w:rPr>
              <w:t>0.766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6"/>
              </w:rPr>
              <w:t>0.96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6"/>
              </w:rPr>
              <w:t>0.38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6"/>
              </w:rPr>
              <w:t>10.0</w:t>
            </w:r>
          </w:p>
        </w:tc>
        <w:tc>
          <w:tcPr>
            <w:tcW w:type="dxa" w:w="1008"/>
          </w:tcPr>
          <w:p>
            <w:r/>
            <w:r>
              <w:rPr>
                <w:b/>
                <w:sz w:val="16"/>
              </w:rPr>
              <w:t>0.70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6"/>
              </w:rPr>
              <w:t>1.67</w:t>
            </w:r>
          </w:p>
        </w:tc>
        <w:tc>
          <w:tcPr>
            <w:tcW w:type="dxa" w:w="792"/>
          </w:tcPr>
          <w:p>
            <w:r/>
            <w:r>
              <w:rPr>
                <w:b/>
                <w:sz w:val="16"/>
              </w:rPr>
              <w:t>0.067</w:t>
            </w:r>
          </w:p>
        </w:tc>
        <w:tc>
          <w:tcPr>
            <w:tcW w:type="dxa" w:w="720"/>
          </w:tcPr>
          <w:p>
            <w:r/>
            <w:r>
              <w:rPr>
                <w:b/>
                <w:sz w:val="16"/>
              </w:rPr>
              <w:t>100%</w:t>
            </w:r>
          </w:p>
        </w:tc>
        <w:tc>
          <w:tcPr>
            <w:tcW w:type="dxa" w:w="864"/>
          </w:tcPr>
          <w:p>
            <w:r/>
            <w:r>
              <w:rPr>
                <w:b/>
                <w:sz w:val="16"/>
              </w:rPr>
              <w:t>4.0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Consolas" w:hAnsi="Consolas"/>
                <w:sz w:val="16"/>
              </w:rPr>
              <w:t>S04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0.672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0.83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0.36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7.6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0.71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1.75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0.089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4.0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Consolas" w:hAnsi="Consolas"/>
                <w:sz w:val="16"/>
              </w:rPr>
              <w:t>S07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0.672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0.83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0.36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7.6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0.71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1.75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0.089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4.0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Consolas" w:hAnsi="Consolas"/>
                <w:sz w:val="16"/>
              </w:rPr>
              <w:t>S03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0.672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0.83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0.36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7.6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0.71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1.75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0.089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4.0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Consolas" w:hAnsi="Consolas"/>
                <w:sz w:val="16"/>
              </w:rPr>
              <w:t>S06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0.642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0.77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0.39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9.9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0.70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1.65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0.071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4.0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Consolas" w:hAnsi="Consolas"/>
                <w:sz w:val="16"/>
              </w:rPr>
              <w:t>S01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0.626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0.76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0.35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9.0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0.70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1.80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0.087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4.0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Consolas" w:hAnsi="Consolas"/>
                <w:sz w:val="16"/>
              </w:rPr>
              <w:t>S02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0.610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0.73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0.36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8.5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0.70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1.74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0.089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4.0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Consolas" w:hAnsi="Consolas"/>
                <w:sz w:val="16"/>
              </w:rPr>
              <w:t>S05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0.600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0.73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0.33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8.4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0.70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1.88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0.089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4.0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Consolas" w:hAnsi="Consolas"/>
                <w:sz w:val="16"/>
              </w:rPr>
              <w:t>S10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0.488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0.57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0.32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8.2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0.74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1.95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1.370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4.0</w:t>
            </w:r>
          </w:p>
        </w:tc>
      </w:tr>
      <w:tr>
        <w:tc>
          <w:tcPr>
            <w:tcW w:type="dxa" w:w="648"/>
          </w:tcPr>
          <w:p>
            <w:r/>
            <w:r>
              <w:rPr>
                <w:rFonts w:ascii="Consolas" w:hAnsi="Consolas"/>
                <w:sz w:val="16"/>
              </w:rPr>
              <w:t>S09</w:t>
            </w:r>
          </w:p>
        </w:tc>
        <w:tc>
          <w:tcPr>
            <w:tcW w:type="dxa" w:w="1224"/>
          </w:tcPr>
          <w:p>
            <w:r/>
            <w:r>
              <w:rPr>
                <w:sz w:val="16"/>
              </w:rPr>
              <w:t>0.462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0.51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0.37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9.0</w:t>
            </w:r>
          </w:p>
        </w:tc>
        <w:tc>
          <w:tcPr>
            <w:tcW w:type="dxa" w:w="1008"/>
          </w:tcPr>
          <w:p>
            <w:r/>
            <w:r>
              <w:rPr>
                <w:sz w:val="16"/>
              </w:rPr>
              <w:t>0.77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1.72</w:t>
            </w:r>
          </w:p>
        </w:tc>
        <w:tc>
          <w:tcPr>
            <w:tcW w:type="dxa" w:w="792"/>
          </w:tcPr>
          <w:p>
            <w:r/>
            <w:r>
              <w:rPr>
                <w:sz w:val="16"/>
              </w:rPr>
              <w:t>1.387</w:t>
            </w:r>
          </w:p>
        </w:tc>
        <w:tc>
          <w:tcPr>
            <w:tcW w:type="dxa" w:w="720"/>
          </w:tcPr>
          <w:p>
            <w:r/>
            <w:r>
              <w:rPr>
                <w:sz w:val="16"/>
              </w:rPr>
              <w:t>100%</w:t>
            </w:r>
          </w:p>
        </w:tc>
        <w:tc>
          <w:tcPr>
            <w:tcW w:type="dxa" w:w="864"/>
          </w:tcPr>
          <w:p>
            <w:r/>
            <w:r>
              <w:rPr>
                <w:sz w:val="16"/>
              </w:rPr>
              <w:t>4.0</w:t>
            </w:r>
          </w:p>
        </w:tc>
      </w:tr>
    </w:tbl>
    <w:p/>
    <w:p>
      <w:r>
        <w:rPr>
          <w:i/>
          <w:color w:val="555555"/>
        </w:rPr>
        <w:t>overlap = mean dispatcher_overlap (target 0.30); econ = windows/oracle-minimal; PMF = low-F RMSE in kBT; conn = fraction connected.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2012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201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3. Sub-score heatmap (green = good). Reveals which axis each strategy wins/loses 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3610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resour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61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4. Resource cost (windows, bars) vs converged neighbour overlap (line).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0249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pm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249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7"/>
        </w:rPr>
        <w:t>Figure 5. MBAR PMF-recovery error (lower = better).</w:t>
      </w:r>
    </w:p>
    <w:p>
      <w:pPr>
        <w:pStyle w:val="Heading1"/>
      </w:pPr>
      <w:r>
        <w:rPr>
          <w:color w:val="1F4E79"/>
        </w:rPr>
        <w:t>Analysis — which strategies are better, and why</w:t>
      </w:r>
    </w:p>
    <w:p>
      <w:r>
        <w:rPr>
          <w:i w:val="0"/>
        </w:rPr>
        <w:t>No single strategy dominates every axis; the study exposes a clear quality-versus-economy frontier (Figure 2).</w:t>
      </w:r>
    </w:p>
    <w:p>
      <w:pPr>
        <w:pStyle w:val="ListBullet"/>
      </w:pPr>
      <w:r>
        <w:rPr>
          <w:b/>
        </w:rPr>
        <w:t xml:space="preserve">S08 (Conservative / 0.45) </w:t>
      </w:r>
      <w:r>
        <w:t>tops the composite (0.766) by maximising sampling quality (0.959): the best low-F coverage, always-connected overlap graphs, and the lowest PMF-recovery error (0.067 kBT). It pays for this with the most windows (10.0) — the classic “buy accuracy with replicas” choice. Best when GPU budget is ample and PMF fidelity is paramount.</w:t>
      </w:r>
    </w:p>
    <w:p>
      <w:pPr>
        <w:pStyle w:val="ListBullet"/>
      </w:pPr>
      <w:r>
        <w:rPr>
          <w:b/>
        </w:rPr>
        <w:t xml:space="preserve">S03 / S04 / S07 (the aggressive family) </w:t>
      </w:r>
      <w:r>
        <w:t>are the lean sweet spot: composite 0.672, quality 0.828, but only ~7.6 windows (about a quarter fewer than S08) for slightly higher PMF error (0.089 kBT). Best quality-per-window — the right default when replicas cost GPU-hours. Crucially these three are numerically identical: once aggressiveness is high the add/remove caps dominate and the overlap target (0.20 vs 0.30) stops mattering — pushing aggressiveness past “aggressive”, or lowering the target further, buys nothing.</w:t>
      </w:r>
    </w:p>
    <w:p>
      <w:pPr>
        <w:pStyle w:val="ListBullet"/>
      </w:pPr>
      <w:r>
        <w:rPr>
          <w:b/>
        </w:rPr>
        <w:t xml:space="preserve">Balanced strategies (S01, S02 baseline, S05) </w:t>
      </w:r>
      <w:r>
        <w:t>sit mid-pack (0.61–0.63). The shipped default is not best on any axis: aggressive variants match its quality with fewer windows, and conservative/tight beats it on quality.</w:t>
      </w:r>
    </w:p>
    <w:p>
      <w:pPr>
        <w:pStyle w:val="ListBullet"/>
      </w:pPr>
      <w:r>
        <w:rPr>
          <w:b/>
        </w:rPr>
        <w:t xml:space="preserve">Langevin strategies (S09, S10) </w:t>
      </w:r>
      <w:r>
        <w:t>collapse to the bottom (composite 0.46–0.49). Their layout decisions are similar to the exact runs (≈8–9 windows, overlap ≈0.75), but the realistic finite, partly non-ergodic trajectories blow up PMF-recovery error to ≈1.4 kBT (vs ≈0.08 for exact sampling, Figure 5). The lesson is decisive: a good window LAYOUT is necessary but not sufficient — sampling depth per window governs PMF fidelity, and no layout policy rescues under-sampling.</w:t>
      </w:r>
    </w:p>
    <w:p>
      <w:pPr>
        <w:pStyle w:val="ListBullet"/>
      </w:pPr>
      <w:r>
        <w:rPr>
          <w:b/>
        </w:rPr>
        <w:t xml:space="preserve">A cross-cutting observation: </w:t>
      </w:r>
      <w:r>
        <w:t>every strategy converges to dispatcher_overlap ≈ 0.70–0.77 against a 0.30 target with economy ratio ≈ 1.5–2.0 (Figure 4). The over-resolution is therefore dispatcher-wide, not a property of any one strategy — consistent with the known window-selection calibration note (and subject to the reduced-k vs contact-mode-k scale caveat).</w:t>
      </w:r>
    </w:p>
    <w:p>
      <w:pPr>
        <w:pStyle w:val="Heading1"/>
      </w:pPr>
      <w:r>
        <w:rPr>
          <w:color w:val="1F4E79"/>
        </w:rPr>
        <w:t>Recommendation</w:t>
      </w:r>
    </w:p>
    <w:p>
      <w:pPr>
        <w:pStyle w:val="ListBullet"/>
      </w:pPr>
      <w:r>
        <w:rPr>
          <w:b/>
        </w:rPr>
        <w:t xml:space="preserve">Default, GPU-constrained: </w:t>
      </w:r>
      <w:r>
        <w:t>use S03 (Aggressive / 0.30). Leanest window set (~7.6) at ~86% of the top quality and best quality-per-replica; very-aggressive adds nothing.</w:t>
      </w:r>
    </w:p>
    <w:p>
      <w:pPr>
        <w:pStyle w:val="ListBullet"/>
      </w:pPr>
      <w:r>
        <w:rPr>
          <w:b/>
        </w:rPr>
        <w:t xml:space="preserve">Fidelity-critical, ample budget: </w:t>
      </w:r>
      <w:r>
        <w:t>use S08 (Conservative / 0.45). Best coverage, connectivity, and PMF recovery, at ~30% more windows.</w:t>
      </w:r>
    </w:p>
    <w:p>
      <w:pPr>
        <w:pStyle w:val="ListBullet"/>
      </w:pPr>
      <w:r>
        <w:rPr>
          <w:b/>
        </w:rPr>
        <w:t xml:space="preserve">Avoid: </w:t>
      </w:r>
      <w:r>
        <w:t>loosening the overlap target alone (S05, the worst exact strategy) — and do not expect very-aggressive to beat aggressive. Tightening the target helps quality only when paired with the conservative profile (S08).</w:t>
      </w:r>
    </w:p>
    <w:p>
      <w:pPr>
        <w:pStyle w:val="ListBullet"/>
      </w:pPr>
      <w:r>
        <w:rPr>
          <w:b/>
        </w:rPr>
        <w:t xml:space="preserve">Independent of strategy: </w:t>
      </w:r>
      <w:r>
        <w:t>regardless of layout strategy, budget enough samples per window. The Langevin collapse shows reweighting fidelity is gated by sampling depth, not by the adaptive layout.</w:t>
      </w:r>
    </w:p>
    <w:p>
      <w:pPr>
        <w:pStyle w:val="ListBullet"/>
      </w:pPr>
      <w:r>
        <w:rPr>
          <w:b/>
        </w:rPr>
        <w:t xml:space="preserve">Before acting on the over-resolution: </w:t>
      </w:r>
      <w:r>
        <w:t>reconcile the dispatcher-wide ~0.7 converged overlap (vs the 0.30 target) at a k-scale where 0.30 is achievable before treating the effective target as a tunable knob.</w:t>
      </w:r>
    </w:p>
    <w:p>
      <w:pPr>
        <w:pStyle w:val="Heading1"/>
      </w:pPr>
      <w:r>
        <w:rPr>
          <w:color w:val="1F4E79"/>
        </w:rPr>
        <w:t>Caveats</w:t>
      </w:r>
    </w:p>
    <w:p>
      <w:pPr>
        <w:pStyle w:val="ListBullet"/>
      </w:pPr>
      <w:r>
        <w:t>Strategies are compared relative to each other under the harness’s conventions; absolute overlap numbers carry the reduced-k vs contact-mode-k scale caveat noted for the harness.</w:t>
      </w:r>
    </w:p>
    <w:p>
      <w:pPr>
        <w:pStyle w:val="ListBullet"/>
      </w:pPr>
      <w:r>
        <w:t>dispatcher_overlap uses the dispatcher’s own histogram-intersection functional and is directly comparable to the 0.30 target; final layouts sit well above it for most strategies (over-resolution), consistent with the known window-selection calibration gap.</w:t>
      </w:r>
    </w:p>
    <w:p>
      <w:pPr>
        <w:pStyle w:val="ListBullet"/>
      </w:pPr>
      <w:r>
        <w:t>Langevin strategies use shorter trajectories (adversarial under-sampling) and fewer seeds, so their noise is higher by design — that is the point of including them.</w:t>
      </w:r>
    </w:p>
    <w:p>
      <w:pPr>
        <w:pStyle w:val="ListBullet"/>
      </w:pPr>
      <w:r>
        <w:t>The composite weighting is one reasonable choice; the aggregate-metrics table lets you re-weight for a different priority (e.g. pure economy for a GPU-budget-bound run).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