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686ed27836923e7ea7d15ff0757fa274eefc44"/>
    <w:p>
      <w:pPr>
        <w:pStyle w:val="Heading1"/>
      </w:pPr>
      <w:r>
        <w:t xml:space="preserve">Two-CV Design: Nonlocal Contact Topology + Orthogonalized Circular Torsion Mode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The goal is to construct a two-dimensional CV space for peptide GaREUS/GaMD simulations that separates: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Global/nonlocal organization</w:t>
      </w:r>
      <w:r>
        <w:t xml:space="preserve"> </w:t>
      </w:r>
      <w:r>
        <w:t xml:space="preserve">of the peptide.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backbone conformational state</w:t>
      </w:r>
      <w:r>
        <w:t xml:space="preserve"> </w:t>
      </w:r>
      <w:r>
        <w:t xml:space="preserve">not already explained by global collapse/contact formation.</w:t>
      </w:r>
    </w:p>
    <w:p>
      <w:pPr>
        <w:pStyle w:val="FirstParagraph"/>
      </w:pPr>
      <w:r>
        <w:t xml:space="preserve">The intended final CV pair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_1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_2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meant to replace a naive 2D Ramachandran-style average, which is not appropriate because backbone dihedral angles are periodic and because averaging many residues can produce artificial</w:t>
      </w:r>
      <w:r>
        <w:t xml:space="preserve"> </w:t>
      </w:r>
      <w:r>
        <w:t xml:space="preserve">“mean”</w:t>
      </w:r>
      <w:r>
        <w:t xml:space="preserve"> </w:t>
      </w:r>
      <w:r>
        <w:t xml:space="preserve">states that no residue actually occupies.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v1-nonlocal-contact-topology"/>
    <w:p>
      <w:pPr>
        <w:pStyle w:val="Heading1"/>
      </w:pPr>
      <w:r>
        <w:t xml:space="preserve">CV1: Nonlocal Contact Topology</w:t>
      </w:r>
    </w:p>
    <w:bookmarkStart w:id="22" w:name="simple-live-form"/>
    <w:p>
      <w:pPr>
        <w:pStyle w:val="Heading2"/>
      </w:pPr>
      <w:r>
        <w:t xml:space="preserve">Simple live form</w:t>
      </w:r>
    </w:p>
    <w:p>
      <w:pPr>
        <w:pStyle w:val="FirstParagraph"/>
      </w:pPr>
      <w:r>
        <w:t xml:space="preserve">For residue pairs (i,j) with sequence separation (|i-j|</w:t>
      </w:r>
      <w:r>
        <w:t xml:space="preserve"> </w:t>
      </w:r>
      <w:r>
        <w:t xml:space="preserve">s_</w:t>
      </w:r>
      <w:r>
        <w:t xml:space="preserve">), define a smooth contact: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c_{ij}(q)=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2"/>
        </w:numPr>
      </w:pPr>
      <w:r>
        <w:t xml:space="preserve">(r_{ij}) is a residue-residue distance, for example Cα-Cα, Cβ-Cβ, sidechain COM, or minimum heavy-atom distance.</w:t>
      </w:r>
    </w:p>
    <w:p>
      <w:pPr>
        <w:pStyle w:val="Compact"/>
        <w:numPr>
          <w:ilvl w:val="0"/>
          <w:numId w:val="1002"/>
        </w:numPr>
      </w:pPr>
      <w:r>
        <w:t xml:space="preserve">(r_0) is the soft contact distance.</w:t>
      </w:r>
    </w:p>
    <w:p>
      <w:pPr>
        <w:pStyle w:val="Compact"/>
        <w:numPr>
          <w:ilvl w:val="0"/>
          <w:numId w:val="1002"/>
        </w:numPr>
      </w:pPr>
      <w:r>
        <w:t xml:space="preserve">(n) controls switching sharpness.</w:t>
      </w:r>
    </w:p>
    <w:p>
      <w:pPr>
        <w:pStyle w:val="Compact"/>
        <w:numPr>
          <w:ilvl w:val="0"/>
          <w:numId w:val="1002"/>
        </w:numPr>
      </w:pPr>
      <w:r>
        <w:t xml:space="preserve">(s_</w:t>
      </w:r>
      <w:r>
        <w:t xml:space="preserve">) excludes local contacts, usually 3 or 4 residues apart.</w:t>
      </w:r>
    </w:p>
    <w:p>
      <w:pPr>
        <w:pStyle w:val="FirstParagraph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</w:t>
      </w:r>
      <w:r>
        <w:t xml:space="preserve">(q)=</w:t>
      </w:r>
      <w:r>
        <w:rPr>
          <w:i/>
          <w:iCs/>
        </w:rPr>
        <w:t xml:space="preserve">{|i-j|</w:t>
      </w:r>
      <w:r>
        <w:rPr>
          <w:i/>
          <w:iCs/>
        </w:rPr>
        <w:t xml:space="preserve">s</w:t>
      </w:r>
      <w:r>
        <w:t xml:space="preserve">} c_{ij}(q)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the simplest recommended CV1.</w:t>
      </w:r>
    </w:p>
    <w:bookmarkEnd w:id="22"/>
    <w:bookmarkStart w:id="23" w:name="meaning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CV1 measures how many long-range residue contacts are formed. It captures:</w:t>
      </w:r>
    </w:p>
    <w:p>
      <w:pPr>
        <w:pStyle w:val="Compact"/>
        <w:numPr>
          <w:ilvl w:val="0"/>
          <w:numId w:val="1003"/>
        </w:numPr>
      </w:pPr>
      <w:r>
        <w:t xml:space="preserve">collapse,</w:t>
      </w:r>
    </w:p>
    <w:p>
      <w:pPr>
        <w:pStyle w:val="Compact"/>
        <w:numPr>
          <w:ilvl w:val="0"/>
          <w:numId w:val="1003"/>
        </w:numPr>
      </w:pPr>
      <w:r>
        <w:t xml:space="preserve">tertiary organization,</w:t>
      </w:r>
    </w:p>
    <w:p>
      <w:pPr>
        <w:pStyle w:val="Compact"/>
        <w:numPr>
          <w:ilvl w:val="0"/>
          <w:numId w:val="1003"/>
        </w:numPr>
      </w:pPr>
      <w:r>
        <w:t xml:space="preserve">long-range structure,</w:t>
      </w:r>
    </w:p>
    <w:p>
      <w:pPr>
        <w:pStyle w:val="Compact"/>
        <w:numPr>
          <w:ilvl w:val="0"/>
          <w:numId w:val="1003"/>
        </w:numPr>
      </w:pPr>
      <w:r>
        <w:t xml:space="preserve">contact formation/breaking,</w:t>
      </w:r>
    </w:p>
    <w:p>
      <w:pPr>
        <w:pStyle w:val="Compact"/>
        <w:numPr>
          <w:ilvl w:val="0"/>
          <w:numId w:val="1003"/>
        </w:numPr>
      </w:pPr>
      <w:r>
        <w:t xml:space="preserve">compactness not reducible to plain radius of gyration.</w:t>
      </w:r>
    </w:p>
    <w:bookmarkEnd w:id="23"/>
    <w:bookmarkStart w:id="24" w:name="better-future-version"/>
    <w:p>
      <w:pPr>
        <w:pStyle w:val="Heading2"/>
      </w:pPr>
      <w:r>
        <w:t xml:space="preserve">Better future version</w:t>
      </w:r>
    </w:p>
    <w:p>
      <w:pPr>
        <w:pStyle w:val="FirstParagraph"/>
      </w:pPr>
      <w:r>
        <w:t xml:space="preserve">Instead of using only total contact count, construct a smooth contact graph and use a scalar graph descriptor:</w:t>
      </w:r>
    </w:p>
    <w:p>
      <w:pPr>
        <w:pStyle w:val="Compact"/>
        <w:numPr>
          <w:ilvl w:val="0"/>
          <w:numId w:val="1004"/>
        </w:numPr>
      </w:pPr>
      <w:r>
        <w:t xml:space="preserve">contact-map PCA/TICA coordinate,</w:t>
      </w:r>
    </w:p>
    <w:p>
      <w:pPr>
        <w:pStyle w:val="Compact"/>
        <w:numPr>
          <w:ilvl w:val="0"/>
          <w:numId w:val="1004"/>
        </w:numPr>
      </w:pPr>
      <w:r>
        <w:t xml:space="preserve">graph Laplacian eigenvalue,</w:t>
      </w:r>
    </w:p>
    <w:p>
      <w:pPr>
        <w:pStyle w:val="Compact"/>
        <w:numPr>
          <w:ilvl w:val="0"/>
          <w:numId w:val="1004"/>
        </w:numPr>
      </w:pPr>
      <w:r>
        <w:t xml:space="preserve">contact-map spectral coordinate,</w:t>
      </w:r>
    </w:p>
    <w:p>
      <w:pPr>
        <w:pStyle w:val="Compact"/>
        <w:numPr>
          <w:ilvl w:val="0"/>
          <w:numId w:val="1004"/>
        </w:numPr>
      </w:pPr>
      <w:r>
        <w:t xml:space="preserve">contact topology coordinate learned from GENPEPT/scout structures.</w:t>
      </w:r>
    </w:p>
    <w:p>
      <w:pPr>
        <w:pStyle w:val="FirstParagraph"/>
      </w:pPr>
      <w:r>
        <w:t xml:space="preserve">However, the first implementation should probably use total smooth nonlocal contact count because it is simple, differentiable, robust, and easy to bias live.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79d0e18fff422ebfbf9c8d75751a5b642381246"/>
    <w:p>
      <w:pPr>
        <w:pStyle w:val="Heading1"/>
      </w:pPr>
      <w:r>
        <w:t xml:space="preserve">CV2: Orthogonalized Circular Torsion Slow Mode</w:t>
      </w:r>
    </w:p>
    <w:bookmarkStart w:id="26" w:name="raw-torsion-embedding"/>
    <w:p>
      <w:pPr>
        <w:pStyle w:val="Heading2"/>
      </w:pPr>
      <w:r>
        <w:t xml:space="preserve">Raw torsion embedding</w:t>
      </w:r>
    </w:p>
    <w:p>
      <w:pPr>
        <w:pStyle w:val="FirstParagraph"/>
      </w:pPr>
      <w:r>
        <w:t xml:space="preserve">Backbone dihedrals must be represented periodically. For each backbone dihedral angle (</w:t>
      </w:r>
      <w:r>
        <w:t xml:space="preserve">_k), use: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_k, </w:t>
      </w:r>
      <w:r>
        <w:t xml:space="preserve">_k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 peptide with approximately 18 backbone dihedrals: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X(q)=</w:t>
      </w:r>
      <w:r>
        <w:t xml:space="preserve"> </w:t>
      </w:r>
      <w:r>
        <w:t xml:space="preserve">[</w:t>
      </w:r>
      <w:r>
        <w:t xml:space="preserve"> </w:t>
      </w:r>
      <w:r>
        <w:t xml:space="preserve">_1,</w:t>
      </w:r>
      <w:r>
        <w:t xml:space="preserve">_1,</w:t>
      </w:r>
      <w:r>
        <w:t xml:space="preserve"> </w:t>
      </w:r>
      <w:r>
        <w:rPr>
          <w:i/>
          <w:iCs/>
        </w:rPr>
        <w:t xml:space="preserve">2,</w:t>
      </w:r>
      <w:r>
        <w:rPr>
          <w:i/>
          <w:i/>
          <w:iCs/>
          <w:iCs/>
        </w:rPr>
        <w:t xml:space="preserve">2,</w:t>
      </w:r>
      <w:r>
        <w:rPr>
          <w:i/>
          <w:i/>
          <w:iCs/>
          <w:iCs/>
        </w:rPr>
        <w:t xml:space="preserve"> </w:t>
      </w:r>
      <w:r>
        <w:rPr>
          <w:i/>
          <w:i/>
          <w:iCs/>
          <w:iCs/>
        </w:rPr>
        <w:t xml:space="preserve">,</w:t>
      </w:r>
      <w:r>
        <w:rPr>
          <w:i/>
          <w:i/>
          <w:iCs/>
          <w:iCs/>
        </w:rPr>
        <w:t xml:space="preserve"> </w:t>
      </w:r>
      <w:r>
        <w:rPr>
          <w:i/>
          <w:iCs/>
        </w:rPr>
        <w:t xml:space="preserve">{18},</w:t>
      </w:r>
      <w:r>
        <w:t xml:space="preserve">{18}]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gives a 36-dimensional periodic torsion feature vector.</w:t>
      </w:r>
    </w:p>
    <w:p>
      <w:pPr>
        <w:pStyle w:val="BodyText"/>
      </w:pPr>
      <w:r>
        <w:t xml:space="preserve">This avoids the failure mode of averaging angles directly across a discontinuity at (-</w:t>
      </w:r>
      <w:r>
        <w:t xml:space="preserve">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orthogonalization-against-cv1"/>
    <w:p>
      <w:pPr>
        <w:pStyle w:val="Heading1"/>
      </w:pPr>
      <w:r>
        <w:t xml:space="preserve">Orthogonalization Against CV1</w:t>
      </w:r>
    </w:p>
    <w:p>
      <w:pPr>
        <w:pStyle w:val="FirstParagraph"/>
      </w:pPr>
      <w:r>
        <w:t xml:space="preserve">The raw torsion features will often correlate with contact formation. For example, extended structures and compact structures naturally occupy different torsion regions.</w:t>
      </w:r>
    </w:p>
    <w:p>
      <w:pPr>
        <w:pStyle w:val="BodyText"/>
      </w:pPr>
      <w:r>
        <w:t xml:space="preserve">If raw torsion PCA/TICA is used directly, CV2 may simply duplicate CV1.</w:t>
      </w:r>
    </w:p>
    <w:p>
      <w:pPr>
        <w:pStyle w:val="BodyText"/>
      </w:pPr>
      <w:r>
        <w:t xml:space="preserve">To avoid this, fit the expected torsion features as a function of CV1: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(C)=f(C)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define residual torsion features: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R(q)=X(q)-f(C_</w:t>
      </w:r>
      <w:r>
        <w:t xml:space="preserve">(q))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Now reduce (R(q)), not (X(q)), to one scalar.</w:t>
      </w:r>
    </w:p>
    <w:p>
      <w:pPr>
        <w:pStyle w:val="BodyText"/>
      </w:pPr>
      <w:r>
        <w:t xml:space="preserve">Simple version: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_2(q)=v</w:t>
      </w:r>
      <w:r>
        <w:t xml:space="preserve">R(q)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(v) is PC1, TICA1, or another learned projection vector from the residual torsion feature space.</w:t>
      </w:r>
    </w:p>
    <w:p>
      <w:pPr>
        <w:pStyle w:val="BodyText"/>
      </w:pPr>
      <w:r>
        <w:t xml:space="preserve">Recommended first version: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_2(q)=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Better version: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_2(q)=</w:t>
      </w:r>
      <w:r>
        <w:t xml:space="preserve"> </w:t>
      </w:r>
      <w:r>
        <w:t xml:space="preserve">]</w:t>
      </w:r>
    </w:p>
    <w:bookmarkStart w:id="28" w:name="meaning-1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CV2 answers:</w:t>
      </w:r>
    </w:p>
    <w:p>
      <w:pPr>
        <w:pStyle w:val="BodyText"/>
      </w:pPr>
      <w:r>
        <w:t xml:space="preserve">“Given this degree of nonlocal contact formation, what local backbone conformational family is the peptide in?”</w:t>
      </w:r>
    </w:p>
    <w:p>
      <w:pPr>
        <w:pStyle w:val="BodyText"/>
      </w:pPr>
      <w:r>
        <w:t xml:space="preserve">This separates structures that have similar contact count but different local backbone organization.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5"/>
        </w:numPr>
      </w:pPr>
      <w:r>
        <w:t xml:space="preserve">Structure A: compact β-hairpin-like local torsions.</w:t>
      </w:r>
    </w:p>
    <w:p>
      <w:pPr>
        <w:pStyle w:val="Compact"/>
        <w:numPr>
          <w:ilvl w:val="0"/>
          <w:numId w:val="1005"/>
        </w:numPr>
      </w:pPr>
      <w:r>
        <w:t xml:space="preserve">Structure B: compact turn/helical torsions.</w:t>
      </w:r>
    </w:p>
    <w:p>
      <w:pPr>
        <w:pStyle w:val="Compact"/>
        <w:numPr>
          <w:ilvl w:val="0"/>
          <w:numId w:val="1005"/>
        </w:numPr>
      </w:pPr>
      <w:r>
        <w:t xml:space="preserve">CV1 may see both as similarly collapsed.</w:t>
      </w:r>
    </w:p>
    <w:p>
      <w:pPr>
        <w:pStyle w:val="Compact"/>
        <w:numPr>
          <w:ilvl w:val="0"/>
          <w:numId w:val="1005"/>
        </w:numPr>
      </w:pPr>
      <w:r>
        <w:t xml:space="preserve">CV2 should separate them.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quired-prescan-calibration-phase"/>
    <w:p>
      <w:pPr>
        <w:pStyle w:val="Heading1"/>
      </w:pPr>
      <w:r>
        <w:t xml:space="preserve">Required Prescan / Calibration Phase</w:t>
      </w:r>
    </w:p>
    <w:p>
      <w:pPr>
        <w:pStyle w:val="FirstParagraph"/>
      </w:pPr>
      <w:r>
        <w:t xml:space="preserve">CV1 can be calculated live during simulation.</w:t>
      </w:r>
    </w:p>
    <w:p>
      <w:pPr>
        <w:pStyle w:val="BodyText"/>
      </w:pPr>
      <w:r>
        <w:t xml:space="preserve">CV2 can also be calculated live, but only after its parameters are pretrained and frozen.</w:t>
      </w:r>
    </w:p>
    <w:p>
      <w:pPr>
        <w:pStyle w:val="BodyText"/>
      </w:pPr>
      <w:r>
        <w:t xml:space="preserve">Required prescan data may come from:</w:t>
      </w:r>
    </w:p>
    <w:p>
      <w:pPr>
        <w:pStyle w:val="Compact"/>
        <w:numPr>
          <w:ilvl w:val="0"/>
          <w:numId w:val="1006"/>
        </w:numPr>
      </w:pPr>
      <w:r>
        <w:t xml:space="preserve">GENPEPT structures,</w:t>
      </w:r>
    </w:p>
    <w:p>
      <w:pPr>
        <w:pStyle w:val="Compact"/>
        <w:numPr>
          <w:ilvl w:val="0"/>
          <w:numId w:val="1006"/>
        </w:numPr>
      </w:pPr>
      <w:r>
        <w:t xml:space="preserve">minimized GENPEPT seeds,</w:t>
      </w:r>
    </w:p>
    <w:p>
      <w:pPr>
        <w:pStyle w:val="Compact"/>
        <w:numPr>
          <w:ilvl w:val="0"/>
          <w:numId w:val="1006"/>
        </w:numPr>
      </w:pPr>
      <w:r>
        <w:t xml:space="preserve">short unbiased MD,</w:t>
      </w:r>
    </w:p>
    <w:p>
      <w:pPr>
        <w:pStyle w:val="Compact"/>
        <w:numPr>
          <w:ilvl w:val="0"/>
          <w:numId w:val="1006"/>
        </w:numPr>
      </w:pPr>
      <w:r>
        <w:t xml:space="preserve">short GaMD scouts,</w:t>
      </w:r>
    </w:p>
    <w:p>
      <w:pPr>
        <w:pStyle w:val="Compact"/>
        <w:numPr>
          <w:ilvl w:val="0"/>
          <w:numId w:val="1006"/>
        </w:numPr>
      </w:pPr>
      <w:r>
        <w:t xml:space="preserve">OPES scout simulations,</w:t>
      </w:r>
    </w:p>
    <w:p>
      <w:pPr>
        <w:pStyle w:val="Compact"/>
        <w:numPr>
          <w:ilvl w:val="0"/>
          <w:numId w:val="1006"/>
        </w:numPr>
      </w:pPr>
      <w:r>
        <w:t xml:space="preserve">early adaptive-feedback trajectories.</w:t>
      </w:r>
    </w:p>
    <w:p>
      <w:pPr>
        <w:pStyle w:val="FirstParagraph"/>
      </w:pPr>
      <w:r>
        <w:t xml:space="preserve">For all prescan frames:</w:t>
      </w:r>
    </w:p>
    <w:p>
      <w:pPr>
        <w:pStyle w:val="Compact"/>
        <w:numPr>
          <w:ilvl w:val="0"/>
          <w:numId w:val="1007"/>
        </w:numPr>
      </w:pPr>
      <w:r>
        <w:t xml:space="preserve">Compute (C_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Compute circular torsion vector (X).</w:t>
      </w:r>
    </w:p>
    <w:p>
      <w:pPr>
        <w:pStyle w:val="Compact"/>
        <w:numPr>
          <w:ilvl w:val="0"/>
          <w:numId w:val="1007"/>
        </w:numPr>
      </w:pPr>
      <w:r>
        <w:t xml:space="preserve">Fit (f(C)), the expected torsion feature vector conditional on contact CV.</w:t>
      </w:r>
    </w:p>
    <w:p>
      <w:pPr>
        <w:pStyle w:val="Compact"/>
        <w:numPr>
          <w:ilvl w:val="0"/>
          <w:numId w:val="1007"/>
        </w:numPr>
      </w:pPr>
      <w:r>
        <w:t xml:space="preserve">Compute residuals: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R=X-f(C)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08"/>
        </w:numPr>
      </w:pPr>
      <w:r>
        <w:t xml:space="preserve">Run PCA/TICA/SGOOP on (R).</w:t>
      </w:r>
    </w:p>
    <w:p>
      <w:pPr>
        <w:pStyle w:val="Compact"/>
        <w:numPr>
          <w:ilvl w:val="0"/>
          <w:numId w:val="1008"/>
        </w:numPr>
      </w:pPr>
      <w:r>
        <w:t xml:space="preserve">Save the projection vector (v) and regression model (f(C)).</w:t>
      </w:r>
    </w:p>
    <w:p>
      <w:pPr>
        <w:pStyle w:val="Compact"/>
        <w:numPr>
          <w:ilvl w:val="0"/>
          <w:numId w:val="1008"/>
        </w:numPr>
      </w:pPr>
      <w:r>
        <w:t xml:space="preserve">Freeze these parameters before biased production.</w:t>
      </w:r>
    </w:p>
    <w:p>
      <w:pPr>
        <w:pStyle w:val="FirstParagraph"/>
      </w:pPr>
      <w:r>
        <w:t xml:space="preserve">Do not update the orthogonalization model continuously during production unless production is split into clearly separated frozen epochs.</w:t>
      </w:r>
    </w:p>
    <w:p>
      <w:r>
        <w:pict>
          <v:rect style="width:0;height:1.5pt" o:hralign="center" o:hrstd="t" o:hr="t"/>
        </w:pict>
      </w:r>
    </w:p>
    <w:bookmarkEnd w:id="30"/>
    <w:bookmarkStart w:id="31" w:name="live-production-cvs"/>
    <w:p>
      <w:pPr>
        <w:pStyle w:val="Heading1"/>
      </w:pPr>
      <w:r>
        <w:t xml:space="preserve">Live Production CVs</w:t>
      </w:r>
    </w:p>
    <w:p>
      <w:pPr>
        <w:pStyle w:val="FirstParagraph"/>
      </w:pPr>
      <w:r>
        <w:t xml:space="preserve">During GaREUS/GaMD production, each frame computes: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1(q)=C</w:t>
      </w:r>
      <w:r>
        <w:t xml:space="preserve">(q)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_2(q)=</w:t>
      </w:r>
      <w:r>
        <w:t xml:space="preserve"> </w:t>
      </w:r>
      <w:r>
        <w:t xml:space="preserve">_j v_j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9"/>
        </w:numPr>
      </w:pPr>
      <w:r>
        <w:t xml:space="preserve">(x_j(q)) are live circular torsion features,</w:t>
      </w:r>
    </w:p>
    <w:p>
      <w:pPr>
        <w:pStyle w:val="Compact"/>
        <w:numPr>
          <w:ilvl w:val="0"/>
          <w:numId w:val="1009"/>
        </w:numPr>
      </w:pPr>
      <w:r>
        <w:t xml:space="preserve">(f_j(C)) are frozen regression functions,</w:t>
      </w:r>
    </w:p>
    <w:p>
      <w:pPr>
        <w:pStyle w:val="Compact"/>
        <w:numPr>
          <w:ilvl w:val="0"/>
          <w:numId w:val="1009"/>
        </w:numPr>
      </w:pPr>
      <w:r>
        <w:t xml:space="preserve">(v_j) are frozen PCA/TICA projection coefficients.</w:t>
      </w:r>
    </w:p>
    <w:p>
      <w:pPr>
        <w:pStyle w:val="FirstParagraph"/>
      </w:pPr>
      <w:r>
        <w:t xml:space="preserve">This makes CV2 a differentiable, live-computable scalar if all components are implemented in the simulation engine.</w:t>
      </w:r>
    </w:p>
    <w:p>
      <w:r>
        <w:pict>
          <v:rect style="width:0;height:1.5pt" o:hralign="center" o:hrstd="t" o:hr="t"/>
        </w:pict>
      </w:r>
    </w:p>
    <w:bookmarkEnd w:id="31"/>
    <w:bookmarkStart w:id="32" w:name="recommended-initial-parameter-choices"/>
    <w:p>
      <w:pPr>
        <w:pStyle w:val="Heading1"/>
      </w:pPr>
      <w:r>
        <w:t xml:space="preserve">Recommended Initial Parameter Choices</w:t>
      </w:r>
    </w:p>
    <w:p>
      <w:pPr>
        <w:pStyle w:val="FirstParagraph"/>
      </w:pPr>
      <w:r>
        <w:t xml:space="preserve">For CV1:</w:t>
      </w:r>
    </w:p>
    <w:p>
      <w:pPr>
        <w:pStyle w:val="Compact"/>
        <w:numPr>
          <w:ilvl w:val="0"/>
          <w:numId w:val="1010"/>
        </w:numPr>
      </w:pPr>
      <w:r>
        <w:t xml:space="preserve">contact pairs: residue pairs with (|i-j|</w:t>
      </w:r>
      <w:r>
        <w:t xml:space="preserve">) or (|i-j|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w:r>
        <w:t xml:space="preserve">distance type: Cα-Cα for first implementation,</w:t>
      </w:r>
    </w:p>
    <w:p>
      <w:pPr>
        <w:pStyle w:val="Compact"/>
        <w:numPr>
          <w:ilvl w:val="0"/>
          <w:numId w:val="1010"/>
        </w:numPr>
      </w:pPr>
      <w:r>
        <w:t xml:space="preserve">(r_0): roughly 0.7–0.9 nm for Cα contacts,</w:t>
      </w:r>
    </w:p>
    <w:p>
      <w:pPr>
        <w:pStyle w:val="Compact"/>
        <w:numPr>
          <w:ilvl w:val="0"/>
          <w:numId w:val="1010"/>
        </w:numPr>
      </w:pPr>
      <w:r>
        <w:t xml:space="preserve">exponent (n): 6–12,</w:t>
      </w:r>
    </w:p>
    <w:p>
      <w:pPr>
        <w:pStyle w:val="Compact"/>
        <w:numPr>
          <w:ilvl w:val="0"/>
          <w:numId w:val="1010"/>
        </w:numPr>
      </w:pPr>
      <w:r>
        <w:t xml:space="preserve">normalize optionally by number of eligible pairs.</w:t>
      </w:r>
    </w:p>
    <w:p>
      <w:pPr>
        <w:pStyle w:val="FirstParagraph"/>
      </w:pPr>
      <w:r>
        <w:t xml:space="preserve">For CV2:</w:t>
      </w:r>
    </w:p>
    <w:p>
      <w:pPr>
        <w:pStyle w:val="Compact"/>
        <w:numPr>
          <w:ilvl w:val="0"/>
          <w:numId w:val="1011"/>
        </w:numPr>
      </w:pPr>
      <w:r>
        <w:t xml:space="preserve">include φ/ψ angles for all internal residues,</w:t>
      </w:r>
    </w:p>
    <w:p>
      <w:pPr>
        <w:pStyle w:val="Compact"/>
        <w:numPr>
          <w:ilvl w:val="0"/>
          <w:numId w:val="1011"/>
        </w:numPr>
      </w:pPr>
      <w:r>
        <w:t xml:space="preserve">optionally include ω only diagnostically at first,</w:t>
      </w:r>
    </w:p>
    <w:p>
      <w:pPr>
        <w:pStyle w:val="Compact"/>
        <w:numPr>
          <w:ilvl w:val="0"/>
          <w:numId w:val="1011"/>
        </w:numPr>
      </w:pPr>
      <w:r>
        <w:t xml:space="preserve">use (</w:t>
      </w:r>
      <w:r>
        <w:t xml:space="preserve">,</w:t>
      </w:r>
      <w:r>
        <w:t xml:space="preserve">) embedding,</w:t>
      </w:r>
    </w:p>
    <w:p>
      <w:pPr>
        <w:pStyle w:val="Compact"/>
        <w:numPr>
          <w:ilvl w:val="0"/>
          <w:numId w:val="1011"/>
        </w:numPr>
      </w:pPr>
      <w:r>
        <w:t xml:space="preserve">start with linear or spline regression (f(C)),</w:t>
      </w:r>
    </w:p>
    <w:p>
      <w:pPr>
        <w:pStyle w:val="Compact"/>
        <w:numPr>
          <w:ilvl w:val="0"/>
          <w:numId w:val="1011"/>
        </w:numPr>
      </w:pPr>
      <w:r>
        <w:t xml:space="preserve">start with PCA1 of residuals before moving to TICA1,</w:t>
      </w:r>
    </w:p>
    <w:p>
      <w:pPr>
        <w:pStyle w:val="Compact"/>
        <w:numPr>
          <w:ilvl w:val="0"/>
          <w:numId w:val="1011"/>
        </w:numPr>
      </w:pPr>
      <w:r>
        <w:t xml:space="preserve">store mean, scaling, regression coefficients, and projection vector.</w:t>
      </w:r>
    </w:p>
    <w:p>
      <w:r>
        <w:pict>
          <v:rect style="width:0;height:1.5pt" o:hralign="center" o:hrstd="t" o:hr="t"/>
        </w:pict>
      </w:r>
    </w:p>
    <w:bookmarkEnd w:id="32"/>
    <w:bookmarkStart w:id="33" w:name="why-this-pair-is-good"/>
    <w:p>
      <w:pPr>
        <w:pStyle w:val="Heading1"/>
      </w:pPr>
      <w:r>
        <w:t xml:space="preserve">Why This Pair Is Good</w:t>
      </w:r>
    </w:p>
    <w:p>
      <w:pPr>
        <w:pStyle w:val="FirstParagraph"/>
      </w:pPr>
      <w:r>
        <w:t xml:space="preserve">This CV pair has a clean division of labor.</w:t>
      </w:r>
    </w:p>
    <w:p>
      <w:pPr>
        <w:pStyle w:val="BodyText"/>
      </w:pPr>
      <w:r>
        <w:t xml:space="preserve">CV1 captures global organization: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CV2 captures local backbone state: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makes it more orthogonal than contact count + Rg, because Rg and contact count are often strongly redundant.</w:t>
      </w:r>
    </w:p>
    <w:p>
      <w:pPr>
        <w:pStyle w:val="BodyText"/>
      </w:pPr>
      <w:r>
        <w:t xml:space="preserve">It is also more physical than an average Ramachandran position, because it respects periodicity and preserves mixed local states.</w:t>
      </w:r>
    </w:p>
    <w:p>
      <w:r>
        <w:pict>
          <v:rect style="width:0;height:1.5pt" o:hralign="center" o:hrstd="t" o:hr="t"/>
        </w:pict>
      </w:r>
    </w:p>
    <w:bookmarkEnd w:id="33"/>
    <w:bookmarkStart w:id="38" w:name="main-risks"/>
    <w:p>
      <w:pPr>
        <w:pStyle w:val="Heading1"/>
      </w:pPr>
      <w:r>
        <w:t xml:space="preserve">Main Risks</w:t>
      </w:r>
    </w:p>
    <w:bookmarkStart w:id="34" w:name="over-orthogonalization"/>
    <w:p>
      <w:pPr>
        <w:pStyle w:val="Heading2"/>
      </w:pPr>
      <w:r>
        <w:t xml:space="preserve">Over-orthogonalization</w:t>
      </w:r>
    </w:p>
    <w:p>
      <w:pPr>
        <w:pStyle w:val="FirstParagraph"/>
      </w:pPr>
      <w:r>
        <w:t xml:space="preserve">If (f(C)) removes too much, CV2 may lose physically meaningful folding information.</w:t>
      </w:r>
    </w:p>
    <w:p>
      <w:pPr>
        <w:pStyle w:val="BodyText"/>
      </w:pPr>
      <w:r>
        <w:t xml:space="preserve">Therefore, first orthogonalize only against scalar (C_</w:t>
      </w:r>
      <w:r>
        <w:t xml:space="preserve">), not the full contact map.</w:t>
      </w:r>
    </w:p>
    <w:bookmarkEnd w:id="34"/>
    <w:bookmarkStart w:id="35" w:name="bad-prescan-coverage"/>
    <w:p>
      <w:pPr>
        <w:pStyle w:val="Heading2"/>
      </w:pPr>
      <w:r>
        <w:t xml:space="preserve">Bad prescan coverage</w:t>
      </w:r>
    </w:p>
    <w:p>
      <w:pPr>
        <w:pStyle w:val="FirstParagraph"/>
      </w:pPr>
      <w:r>
        <w:t xml:space="preserve">If the prescan misses important torsion states, CV2 may be poorly trained.</w:t>
      </w:r>
    </w:p>
    <w:p>
      <w:pPr>
        <w:pStyle w:val="BodyText"/>
      </w:pPr>
      <w:r>
        <w:t xml:space="preserve">Use GENPEPT diversity, scout MD, or OPES/GaMD scouting to enrich prescan data.</w:t>
      </w:r>
    </w:p>
    <w:bookmarkEnd w:id="35"/>
    <w:bookmarkStart w:id="36" w:name="non-differentiable-implementation"/>
    <w:p>
      <w:pPr>
        <w:pStyle w:val="Heading2"/>
      </w:pPr>
      <w:r>
        <w:t xml:space="preserve">Non-differentiable implementation</w:t>
      </w:r>
    </w:p>
    <w:p>
      <w:pPr>
        <w:pStyle w:val="FirstParagraph"/>
      </w:pPr>
      <w:r>
        <w:t xml:space="preserve">PCA-style linear projections of (</w:t>
      </w:r>
      <w:r>
        <w:t xml:space="preserve">/</w:t>
      </w:r>
      <w:r>
        <w:t xml:space="preserve">) torsion features are differentiable.</w:t>
      </w:r>
    </w:p>
    <w:p>
      <w:pPr>
        <w:pStyle w:val="BodyText"/>
      </w:pPr>
      <w:r>
        <w:t xml:space="preserve">Spline or complicated regressions must be implemented carefully if used as live bias CVs.</w:t>
      </w:r>
    </w:p>
    <w:p>
      <w:pPr>
        <w:pStyle w:val="BodyText"/>
      </w:pPr>
      <w:r>
        <w:t xml:space="preserve">A piecewise or lookup-based model may be fine for analysis but dangerous for live biasing unless smooth.</w:t>
      </w:r>
    </w:p>
    <w:bookmarkEnd w:id="36"/>
    <w:bookmarkStart w:id="37" w:name="cv-drift"/>
    <w:p>
      <w:pPr>
        <w:pStyle w:val="Heading2"/>
      </w:pPr>
      <w:r>
        <w:t xml:space="preserve">CV drift</w:t>
      </w:r>
    </w:p>
    <w:p>
      <w:pPr>
        <w:pStyle w:val="FirstParagraph"/>
      </w:pPr>
      <w:r>
        <w:t xml:space="preserve">Do not retrain CV2 during the same continuous production run.</w:t>
      </w:r>
    </w:p>
    <w:p>
      <w:pPr>
        <w:pStyle w:val="BodyText"/>
      </w:pPr>
      <w:r>
        <w:t xml:space="preserve">If retraining is needed, split production into epochs and freeze CV definitions inside each epoch.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recommended-implementation-modes"/>
    <w:p>
      <w:pPr>
        <w:pStyle w:val="Heading1"/>
      </w:pPr>
      <w:r>
        <w:t xml:space="preserve">Recommended Implementation Modes</w:t>
      </w:r>
    </w:p>
    <w:p>
      <w:pPr>
        <w:pStyle w:val="FirstParagraph"/>
      </w:pPr>
      <w:r>
        <w:t xml:space="preserve">Add three torsion-CV modes:</w:t>
      </w:r>
    </w:p>
    <w:bookmarkStart w:id="39" w:name="torsion_raw_pca"/>
    <w:p>
      <w:pPr>
        <w:pStyle w:val="Heading2"/>
      </w:pPr>
      <w:r>
        <w:rPr>
          <w:rStyle w:val="VerbatimChar"/>
        </w:rPr>
        <w:t xml:space="preserve">torsion_raw_pca</w:t>
      </w:r>
    </w:p>
    <w:p>
      <w:pPr>
        <w:pStyle w:val="FirstParagraph"/>
      </w:pPr>
      <w:r>
        <w:t xml:space="preserve">Plain PCA/TICA of circular torsion features.</w:t>
      </w:r>
    </w:p>
    <w:p>
      <w:pPr>
        <w:pStyle w:val="BodyText"/>
      </w:pPr>
      <w:r>
        <w:t xml:space="preserve">Useful as a baseline.</w:t>
      </w:r>
    </w:p>
    <w:bookmarkEnd w:id="39"/>
    <w:bookmarkStart w:id="40" w:name="torsion_residual_vs_contact"/>
    <w:p>
      <w:pPr>
        <w:pStyle w:val="Heading2"/>
      </w:pPr>
      <w:r>
        <w:rPr>
          <w:rStyle w:val="VerbatimChar"/>
        </w:rPr>
        <w:t xml:space="preserve">torsion_residual_vs_contact</w:t>
      </w:r>
    </w:p>
    <w:p>
      <w:pPr>
        <w:pStyle w:val="FirstParagraph"/>
      </w:pPr>
      <w:r>
        <w:t xml:space="preserve">Residual circular torsion mode after removing dependence on scalar nonlocal contact CV.</w:t>
      </w:r>
    </w:p>
    <w:p>
      <w:pPr>
        <w:pStyle w:val="BodyText"/>
      </w:pPr>
      <w:r>
        <w:t xml:space="preserve">Recommended default.</w:t>
      </w:r>
    </w:p>
    <w:bookmarkEnd w:id="40"/>
    <w:bookmarkStart w:id="41" w:name="torsion_residual_vs_contact_topology"/>
    <w:p>
      <w:pPr>
        <w:pStyle w:val="Heading2"/>
      </w:pPr>
      <w:r>
        <w:rPr>
          <w:rStyle w:val="VerbatimChar"/>
        </w:rPr>
        <w:t xml:space="preserve">torsion_residual_vs_contact_topology</w:t>
      </w:r>
    </w:p>
    <w:p>
      <w:pPr>
        <w:pStyle w:val="FirstParagraph"/>
      </w:pPr>
      <w:r>
        <w:t xml:space="preserve">Residual circular torsion mode after removing dependence on 2–3 contact topology descriptors.</w:t>
      </w:r>
    </w:p>
    <w:p>
      <w:pPr>
        <w:pStyle w:val="BodyText"/>
      </w:pPr>
      <w:r>
        <w:t xml:space="preserve">Useful later, but more risky because it may remove too much relevant folding signal.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uggested-default"/>
    <w:p>
      <w:pPr>
        <w:pStyle w:val="Heading1"/>
      </w:pPr>
      <w:r>
        <w:t xml:space="preserve">Suggested Default</w:t>
      </w:r>
    </w:p>
    <w:p>
      <w:pPr>
        <w:pStyle w:val="FirstParagraph"/>
      </w:pPr>
      <w:r>
        <w:t xml:space="preserve">For first implementation: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1 =</w:t>
      </w:r>
      <w:r>
        <w:rPr>
          <w:i/>
          <w:iCs/>
        </w:rPr>
        <w:t xml:space="preserve"> </w:t>
      </w:r>
      <w:r>
        <w:t xml:space="preserve">{|i-j|</w:t>
      </w:r>
      <w:r>
        <w:t xml:space="preserve">}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_2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later upgrade CV2 from PC1 to TICA1 if prescan trajectories have enough temporal information.</w:t>
      </w:r>
    </w:p>
    <w:p>
      <w:r>
        <w:pict>
          <v:rect style="width:0;height:1.5pt" o:hralign="center" o:hrstd="t" o:hr="t"/>
        </w:pict>
      </w:r>
    </w:p>
    <w:bookmarkEnd w:id="43"/>
    <w:bookmarkStart w:id="44" w:name="diagnostics-to-save"/>
    <w:p>
      <w:pPr>
        <w:pStyle w:val="Heading1"/>
      </w:pPr>
      <w:r>
        <w:t xml:space="preserve">Diagnostics to Save</w:t>
      </w:r>
    </w:p>
    <w:p>
      <w:pPr>
        <w:pStyle w:val="FirstParagraph"/>
      </w:pPr>
      <w:r>
        <w:t xml:space="preserve">For every prescan and production frame, save:</w:t>
      </w:r>
    </w:p>
    <w:p>
      <w:pPr>
        <w:pStyle w:val="Compact"/>
        <w:numPr>
          <w:ilvl w:val="0"/>
          <w:numId w:val="1012"/>
        </w:numPr>
      </w:pPr>
      <w:r>
        <w:t xml:space="preserve">CV1 value,</w:t>
      </w:r>
    </w:p>
    <w:p>
      <w:pPr>
        <w:pStyle w:val="Compact"/>
        <w:numPr>
          <w:ilvl w:val="0"/>
          <w:numId w:val="1012"/>
        </w:numPr>
      </w:pPr>
      <w:r>
        <w:t xml:space="preserve">CV2 value,</w:t>
      </w:r>
    </w:p>
    <w:p>
      <w:pPr>
        <w:pStyle w:val="Compact"/>
        <w:numPr>
          <w:ilvl w:val="0"/>
          <w:numId w:val="1012"/>
        </w:numPr>
      </w:pPr>
      <w:r>
        <w:t xml:space="preserve">raw contact count,</w:t>
      </w:r>
    </w:p>
    <w:p>
      <w:pPr>
        <w:pStyle w:val="Compact"/>
        <w:numPr>
          <w:ilvl w:val="0"/>
          <w:numId w:val="1012"/>
        </w:numPr>
      </w:pPr>
      <w:r>
        <w:t xml:space="preserve">normalized contact count,</w:t>
      </w:r>
    </w:p>
    <w:p>
      <w:pPr>
        <w:pStyle w:val="Compact"/>
        <w:numPr>
          <w:ilvl w:val="0"/>
          <w:numId w:val="1012"/>
        </w:numPr>
      </w:pPr>
      <w:r>
        <w:t xml:space="preserve">Rg,</w:t>
      </w:r>
    </w:p>
    <w:p>
      <w:pPr>
        <w:pStyle w:val="Compact"/>
        <w:numPr>
          <w:ilvl w:val="0"/>
          <w:numId w:val="1012"/>
        </w:numPr>
      </w:pPr>
      <w:r>
        <w:t xml:space="preserve">end-to-end distance,</w:t>
      </w:r>
    </w:p>
    <w:p>
      <w:pPr>
        <w:pStyle w:val="Compact"/>
        <w:numPr>
          <w:ilvl w:val="0"/>
          <w:numId w:val="1012"/>
        </w:numPr>
      </w:pPr>
      <w:r>
        <w:t xml:space="preserve">all φ/ψ values,</w:t>
      </w:r>
    </w:p>
    <w:p>
      <w:pPr>
        <w:pStyle w:val="Compact"/>
        <w:numPr>
          <w:ilvl w:val="0"/>
          <w:numId w:val="1012"/>
        </w:numPr>
      </w:pPr>
      <w:r>
        <w:t xml:space="preserve">circular torsion PC/TICA values,</w:t>
      </w:r>
    </w:p>
    <w:p>
      <w:pPr>
        <w:pStyle w:val="Compact"/>
        <w:numPr>
          <w:ilvl w:val="0"/>
          <w:numId w:val="1012"/>
        </w:numPr>
      </w:pPr>
      <w:r>
        <w:t xml:space="preserve">residual torsion norm,</w:t>
      </w:r>
    </w:p>
    <w:p>
      <w:pPr>
        <w:pStyle w:val="Compact"/>
        <w:numPr>
          <w:ilvl w:val="0"/>
          <w:numId w:val="1012"/>
        </w:numPr>
      </w:pPr>
      <w:r>
        <w:t xml:space="preserve">projection residuals,</w:t>
      </w:r>
    </w:p>
    <w:p>
      <w:pPr>
        <w:pStyle w:val="Compact"/>
        <w:numPr>
          <w:ilvl w:val="0"/>
          <w:numId w:val="1012"/>
        </w:numPr>
      </w:pPr>
      <w:r>
        <w:t xml:space="preserve">cluster ID if available,</w:t>
      </w:r>
    </w:p>
    <w:p>
      <w:pPr>
        <w:pStyle w:val="Compact"/>
        <w:numPr>
          <w:ilvl w:val="0"/>
          <w:numId w:val="1012"/>
        </w:numPr>
      </w:pPr>
      <w:r>
        <w:t xml:space="preserve">umbrella bias,</w:t>
      </w:r>
    </w:p>
    <w:p>
      <w:pPr>
        <w:pStyle w:val="Compact"/>
        <w:numPr>
          <w:ilvl w:val="0"/>
          <w:numId w:val="1012"/>
        </w:numPr>
      </w:pPr>
      <w:r>
        <w:t xml:space="preserve">GaMD boost,</w:t>
      </w:r>
    </w:p>
    <w:p>
      <w:pPr>
        <w:pStyle w:val="Compact"/>
        <w:numPr>
          <w:ilvl w:val="0"/>
          <w:numId w:val="1012"/>
        </w:numPr>
      </w:pPr>
      <w:r>
        <w:t xml:space="preserve">physical potential energy.</w:t>
      </w:r>
    </w:p>
    <w:p>
      <w:pPr>
        <w:pStyle w:val="FirstParagraph"/>
      </w:pPr>
      <w:r>
        <w:t xml:space="preserve">Important diagnostic plots:</w:t>
      </w:r>
    </w:p>
    <w:p>
      <w:pPr>
        <w:pStyle w:val="Compact"/>
        <w:numPr>
          <w:ilvl w:val="0"/>
          <w:numId w:val="1013"/>
        </w:numPr>
      </w:pPr>
      <w:r>
        <w:t xml:space="preserve">CV1 vs CV2 scatter,</w:t>
      </w:r>
    </w:p>
    <w:p>
      <w:pPr>
        <w:pStyle w:val="Compact"/>
        <w:numPr>
          <w:ilvl w:val="0"/>
          <w:numId w:val="1013"/>
        </w:numPr>
      </w:pPr>
      <w:r>
        <w:t xml:space="preserve">CV1 histogram,</w:t>
      </w:r>
    </w:p>
    <w:p>
      <w:pPr>
        <w:pStyle w:val="Compact"/>
        <w:numPr>
          <w:ilvl w:val="0"/>
          <w:numId w:val="1013"/>
        </w:numPr>
      </w:pPr>
      <w:r>
        <w:t xml:space="preserve">CV2 histogram,</w:t>
      </w:r>
    </w:p>
    <w:p>
      <w:pPr>
        <w:pStyle w:val="Compact"/>
        <w:numPr>
          <w:ilvl w:val="0"/>
          <w:numId w:val="1013"/>
        </w:numPr>
      </w:pPr>
      <w:r>
        <w:t xml:space="preserve">CV1/CV2 colored by Rg,</w:t>
      </w:r>
    </w:p>
    <w:p>
      <w:pPr>
        <w:pStyle w:val="Compact"/>
        <w:numPr>
          <w:ilvl w:val="0"/>
          <w:numId w:val="1013"/>
        </w:numPr>
      </w:pPr>
      <w:r>
        <w:t xml:space="preserve">CV1/CV2 colored by contact count,</w:t>
      </w:r>
    </w:p>
    <w:p>
      <w:pPr>
        <w:pStyle w:val="Compact"/>
        <w:numPr>
          <w:ilvl w:val="0"/>
          <w:numId w:val="1013"/>
        </w:numPr>
      </w:pPr>
      <w:r>
        <w:t xml:space="preserve">CV1/CV2 colored by torsion cluster,</w:t>
      </w:r>
    </w:p>
    <w:p>
      <w:pPr>
        <w:pStyle w:val="Compact"/>
        <w:numPr>
          <w:ilvl w:val="0"/>
          <w:numId w:val="1013"/>
        </w:numPr>
      </w:pPr>
      <w:r>
        <w:t xml:space="preserve">CV1/CV2 colored by GENPEPT seed cluster,</w:t>
      </w:r>
    </w:p>
    <w:p>
      <w:pPr>
        <w:pStyle w:val="Compact"/>
        <w:numPr>
          <w:ilvl w:val="0"/>
          <w:numId w:val="1013"/>
        </w:numPr>
      </w:pPr>
      <w:r>
        <w:t xml:space="preserve">CV1/CV2 colored by MBAR weight,</w:t>
      </w:r>
    </w:p>
    <w:p>
      <w:pPr>
        <w:pStyle w:val="Compact"/>
        <w:numPr>
          <w:ilvl w:val="0"/>
          <w:numId w:val="1013"/>
        </w:numPr>
      </w:pPr>
      <w:r>
        <w:t xml:space="preserve">overlap matrix across windows,</w:t>
      </w:r>
    </w:p>
    <w:p>
      <w:pPr>
        <w:pStyle w:val="Compact"/>
        <w:numPr>
          <w:ilvl w:val="0"/>
          <w:numId w:val="1013"/>
        </w:numPr>
      </w:pPr>
      <w:r>
        <w:t xml:space="preserve">exchange probability across neighboring windows,</w:t>
      </w:r>
    </w:p>
    <w:p>
      <w:pPr>
        <w:pStyle w:val="Compact"/>
        <w:numPr>
          <w:ilvl w:val="0"/>
          <w:numId w:val="1013"/>
        </w:numPr>
      </w:pPr>
      <w:r>
        <w:t xml:space="preserve">residual torsion PC explained variance,</w:t>
      </w:r>
    </w:p>
    <w:p>
      <w:pPr>
        <w:pStyle w:val="Compact"/>
        <w:numPr>
          <w:ilvl w:val="0"/>
          <w:numId w:val="1013"/>
        </w:numPr>
      </w:pPr>
      <w:r>
        <w:t xml:space="preserve">correlation matrix between CV1, CV2, Rg, end-to-end, and contact count.</w:t>
      </w:r>
    </w:p>
    <w:p>
      <w:r>
        <w:pict>
          <v:rect style="width:0;height:1.5pt" o:hralign="center" o:hrstd="t" o:hr="t"/>
        </w:pict>
      </w:r>
    </w:p>
    <w:bookmarkEnd w:id="44"/>
    <w:bookmarkStart w:id="45" w:name="final-concept"/>
    <w:p>
      <w:pPr>
        <w:pStyle w:val="Heading1"/>
      </w:pPr>
      <w:r>
        <w:t xml:space="preserve">Final Concept</w:t>
      </w:r>
    </w:p>
    <w:p>
      <w:pPr>
        <w:pStyle w:val="FirstParagraph"/>
      </w:pPr>
      <w:r>
        <w:t xml:space="preserve">The final CV design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CV1 tells the simulation where the peptide is in global contact/collapse space.</w:t>
      </w:r>
    </w:p>
    <w:p>
      <w:pPr>
        <w:pStyle w:val="BodyText"/>
      </w:pPr>
      <w:r>
        <w:t xml:space="preserve">CV2 tells the simulation which local backbone family it occupies after removing the trivial torsion/contact correlation.</w:t>
      </w:r>
    </w:p>
    <w:p>
      <w:pPr>
        <w:pStyle w:val="BodyText"/>
      </w:pPr>
      <w:r>
        <w:t xml:space="preserve">This should give a more meaningful 2D GaREUS landscape than contact count + Rg or any average Ramachandran coordinate.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2026-06-24T15:24:27Z</dcterms:created>
  <dcterms:modified xsi:type="dcterms:W3CDTF">2026-06-24T15:24:27Z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