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1F4E79"/>
          <w:sz w:val="34"/>
          <w:szCs w:val="34"/>
        </w:rPr>
        <w:t xml:space="preserve">Adversarial review of </w:t>
      </w:r>
      <w:r>
        <w:rPr>
          <w:rFonts w:ascii="Consolas" w:cs="Consolas" w:eastAsia="Consolas" w:hAnsi="Consolas"/>
          <w:b/>
          <w:bCs/>
          <w:color w:val="1F4E79"/>
          <w:sz w:val="32"/>
          <w:szCs w:val="32"/>
        </w:rPr>
        <w:t xml:space="preserve">HANDOFF_CV_SELECTION_2026-09-19.md</w:t>
      </w:r>
    </w:p>
    <w:p>
      <w:pPr>
        <w:spacing w:after="160" w:before="0" w:line="276"/>
        <w:jc w:val="both"/>
      </w:pPr>
      <w:r>
        <w:rPr>
          <w:sz w:val="20"/>
          <w:szCs w:val="20"/>
        </w:rPr>
        <w:t xml:space="preserve">Self-review of the handoff, deliberately hostile. Findings graded </w:t>
      </w:r>
      <w:r>
        <w:rPr>
          <w:b/>
          <w:bCs/>
          <w:sz w:val="20"/>
          <w:szCs w:val="20"/>
        </w:rPr>
        <w:t xml:space="preserve">CRITICAL</w:t>
      </w:r>
      <w:r>
        <w:rPr>
          <w:sz w:val="20"/>
          <w:szCs w:val="20"/>
        </w:rPr>
        <w:t xml:space="preserve"> (a stated claim is wrong), </w:t>
      </w:r>
      <w:r>
        <w:rPr>
          <w:b/>
          <w:bCs/>
          <w:sz w:val="20"/>
          <w:szCs w:val="20"/>
        </w:rPr>
        <w:t xml:space="preserve">HIGH</w:t>
      </w:r>
      <w:r>
        <w:rPr>
          <w:sz w:val="20"/>
          <w:szCs w:val="20"/>
        </w:rPr>
        <w:t xml:space="preserve"> (a claim needs restating), </w:t>
      </w:r>
      <w:r>
        <w:rPr>
          <w:b/>
          <w:bCs/>
          <w:sz w:val="20"/>
          <w:szCs w:val="20"/>
        </w:rPr>
        <w:t xml:space="preserve">MEDIUM</w:t>
      </w:r>
      <w:r>
        <w:rPr>
          <w:sz w:val="20"/>
          <w:szCs w:val="20"/>
        </w:rPr>
        <w:t xml:space="preserve"> (loose or self-serving), </w:t>
      </w:r>
      <w:r>
        <w:rPr>
          <w:b/>
          <w:bCs/>
          <w:sz w:val="20"/>
          <w:szCs w:val="20"/>
        </w:rPr>
        <w:t xml:space="preserve">LOW</w:t>
      </w:r>
      <w:r>
        <w:rPr>
          <w:sz w:val="20"/>
          <w:szCs w:val="20"/>
        </w:rPr>
        <w:t xml:space="preserve"> (presentation). Every finding is checked against source, not asserted.</w:t>
      </w:r>
    </w:p>
    <w:p>
      <w:pPr>
        <w:spacing w:after="160" w:before="0" w:line="276"/>
        <w:jc w:val="both"/>
      </w:pPr>
      <w:r>
        <w:rPr>
          <w:sz w:val="20"/>
          <w:szCs w:val="20"/>
        </w:rPr>
        <w:t xml:space="preserve">---</w:t>
      </w:r>
    </w:p>
    <w:p>
      <w:pPr>
        <w:pStyle w:val="Heading1"/>
        <w:keepNext/>
        <w:spacing w:after="120" w:before="320"/>
      </w:pPr>
      <w:r>
        <w:rPr>
          <w:b/>
          <w:bCs/>
          <w:color w:val="1F4E79"/>
          <w:sz w:val="26"/>
          <w:szCs w:val="26"/>
        </w:rPr>
        <w:t xml:space="preserve">R1. CRITICAL — the project is </w:t>
      </w:r>
      <w:r>
        <w:rPr>
          <w:b/>
          <w:bCs/>
          <w:i/>
          <w:iCs/>
          <w:color w:val="1F4E79"/>
          <w:sz w:val="26"/>
          <w:szCs w:val="26"/>
        </w:rPr>
        <w:t xml:space="preserve">not</w:t>
      </w:r>
      <w:r>
        <w:rPr>
          <w:b/>
          <w:bCs/>
          <w:color w:val="1F4E79"/>
          <w:sz w:val="26"/>
          <w:szCs w:val="26"/>
        </w:rPr>
        <w:t xml:space="preserve"> "ab initio" in the sense the report claims</w:t>
      </w:r>
    </w:p>
    <w:p>
      <w:pPr>
        <w:spacing w:after="160" w:before="0" w:line="276"/>
        <w:jc w:val="both"/>
      </w:pPr>
      <w:r>
        <w:rPr>
          <w:sz w:val="20"/>
          <w:szCs w:val="20"/>
        </w:rPr>
        <w:t xml:space="preserve">The handoff states, of the GENPEPT seed banks: </w:t>
      </w:r>
      <w:r>
        <w:rPr>
          <w:i/>
          <w:iCs/>
          <w:sz w:val="20"/>
          <w:szCs w:val="20"/>
        </w:rPr>
        <w:t xml:space="preserve">"</w:t>
      </w:r>
      <w:r>
        <w:rPr>
          <w:i/>
          <w:iCs/>
          <w:sz w:val="20"/>
          <w:szCs w:val="20"/>
        </w:rPr>
        <w:t xml:space="preserve">Ab initio — no native input.</w:t>
      </w:r>
      <w:r>
        <w:rPr>
          <w:i/>
          <w:iCs/>
          <w:sz w:val="20"/>
          <w:szCs w:val="20"/>
        </w:rPr>
        <w:t xml:space="preserve">"</w:t>
      </w:r>
      <w:r>
        <w:rPr>
          <w:sz w:val="20"/>
          <w:szCs w:val="20"/>
        </w:rPr>
        <w:t xml:space="preserve"> That is wrong as written, and it is the load-bearing claim of the whole project.</w:t>
      </w:r>
    </w:p>
    <w:p>
      <w:pPr>
        <w:spacing w:after="160" w:before="0" w:line="276"/>
        <w:jc w:val="both"/>
      </w:pPr>
      <w:r>
        <w:rPr>
          <w:rFonts w:ascii="Consolas" w:cs="Consolas" w:eastAsia="Consolas" w:hAnsi="Consolas"/>
          <w:sz w:val="18"/>
          <w:szCs w:val="18"/>
        </w:rPr>
        <w:t xml:space="preserve">GENPEPT.py:8118</w:t>
      </w:r>
      <w:r>
        <w:rPr>
          <w:sz w:val="20"/>
          <w:szCs w:val="20"/>
        </w:rPr>
        <w:t xml:space="preserve"> defines </w:t>
      </w:r>
      <w:r>
        <w:rPr>
          <w:rFonts w:ascii="Consolas" w:cs="Consolas" w:eastAsia="Consolas" w:hAnsi="Consolas"/>
          <w:sz w:val="18"/>
          <w:szCs w:val="18"/>
        </w:rPr>
        <w:t xml:space="preserve">--diversity-bank-preset</w:t>
      </w:r>
      <w:r>
        <w:rPr>
          <w:sz w:val="20"/>
          <w:szCs w:val="20"/>
        </w:rPr>
        <w:t xml:space="preserve"> with choices </w:t>
      </w:r>
      <w:r>
        <w:rPr>
          <w:rFonts w:ascii="Consolas" w:cs="Consolas" w:eastAsia="Consolas" w:hAnsi="Consolas"/>
          <w:sz w:val="18"/>
          <w:szCs w:val="18"/>
        </w:rPr>
        <w:t xml:space="preserve">off | broad | chignolin | turbo</w:t>
      </w:r>
      <w:r>
        <w:rPr>
          <w:sz w:val="20"/>
          <w:szCs w:val="20"/>
        </w:rPr>
        <w:t xml:space="preserve">, help text: </w:t>
      </w:r>
      <w:r>
        <w:rPr>
          <w:i/>
          <w:iCs/>
          <w:sz w:val="20"/>
          <w:szCs w:val="20"/>
        </w:rPr>
        <w:t xml:space="preserve">"'chignolin' biases toward </w:t>
      </w:r>
      <w:r>
        <w:rPr>
          <w:i/>
          <w:iCs/>
          <w:sz w:val="20"/>
          <w:szCs w:val="20"/>
        </w:rPr>
        <w:t xml:space="preserve">hairpin/turn-rich</w:t>
      </w:r>
      <w:r>
        <w:rPr>
          <w:i/>
          <w:iCs/>
          <w:sz w:val="20"/>
          <w:szCs w:val="20"/>
        </w:rPr>
        <w:t xml:space="preserve"> banks."</w:t>
      </w:r>
      <w:r>
        <w:rPr>
          <w:sz w:val="20"/>
          <w:szCs w:val="20"/>
        </w:rPr>
        <w:t xml:space="preserve"> The r7 bank was generated with </w:t>
      </w:r>
      <w:r>
        <w:rPr>
          <w:rFonts w:ascii="Consolas" w:cs="Consolas" w:eastAsia="Consolas" w:hAnsi="Consolas"/>
          <w:sz w:val="18"/>
          <w:szCs w:val="18"/>
        </w:rPr>
        <w:t xml:space="preserve">diversity_bank_preset=chignolin</w:t>
      </w:r>
      <w:r>
        <w:rPr>
          <w:sz w:val="20"/>
          <w:szCs w:val="20"/>
        </w:rPr>
        <w:t xml:space="preserve"> (census README, §Dataset). Comparing the two presets (</w:t>
      </w:r>
      <w:r>
        <w:rPr>
          <w:rFonts w:ascii="Consolas" w:cs="Consolas" w:eastAsia="Consolas" w:hAnsi="Consolas"/>
          <w:sz w:val="18"/>
          <w:szCs w:val="18"/>
        </w:rPr>
        <w:t xml:space="preserve">GENPEPT.py:1146–1163</w:t>
      </w:r>
      <w:r>
        <w:rPr>
          <w:sz w:val="20"/>
          <w:szCs w:val="20"/>
        </w:rPr>
        <w:t xml:space="preserv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4080"/>
        <w:gridCol w:w="1680"/>
        <w:gridCol w:w="2520"/>
        <w:gridCol w:w="1800"/>
      </w:tblGrid>
      <w:tr>
        <w:trPr>
          <w:cantSplit/>
          <w:tblHeader/>
        </w:trPr>
        <w:tc>
          <w:tcPr>
            <w:tcW w:type="dxa" w:w="4080"/>
            <w:shd w:fill="EDF2F7" w:color="auto" w:val="clear"/>
            <w:tcMar>
              <w:top w:type="dxa" w:w="60"/>
              <w:left w:type="dxa" w:w="110"/>
              <w:bottom w:type="dxa" w:w="60"/>
              <w:right w:type="dxa" w:w="110"/>
            </w:tcMar>
          </w:tcPr>
          <w:p>
            <w:pPr>
              <w:spacing w:after="0" w:before="0"/>
            </w:pPr>
            <w:r>
              <w:rPr>
                <w:b/>
                <w:bCs/>
                <w:color w:val="1F4E79"/>
                <w:sz w:val="18"/>
                <w:szCs w:val="18"/>
              </w:rPr>
              <w:t xml:space="preserve">bank</w:t>
            </w:r>
          </w:p>
        </w:tc>
        <w:tc>
          <w:tcPr>
            <w:tcW w:type="dxa" w:w="1680"/>
            <w:shd w:fill="EDF2F7" w:color="auto" w:val="clear"/>
            <w:tcMar>
              <w:top w:type="dxa" w:w="60"/>
              <w:left w:type="dxa" w:w="110"/>
              <w:bottom w:type="dxa" w:w="60"/>
              <w:right w:type="dxa" w:w="110"/>
            </w:tcMar>
          </w:tcPr>
          <w:p>
            <w:pPr>
              <w:spacing w:after="0" w:before="0"/>
            </w:pPr>
            <w:r>
              <w:rPr>
                <w:rFonts w:ascii="Consolas" w:cs="Consolas" w:eastAsia="Consolas" w:hAnsi="Consolas"/>
                <w:b/>
                <w:bCs/>
                <w:color w:val="1F4E79"/>
                <w:sz w:val="16"/>
                <w:szCs w:val="16"/>
              </w:rPr>
              <w:t xml:space="preserve">broad</w:t>
            </w:r>
            <w:r>
              <w:rPr>
                <w:b/>
                <w:bCs/>
                <w:color w:val="1F4E79"/>
                <w:sz w:val="18"/>
                <w:szCs w:val="18"/>
              </w:rPr>
              <w:t xml:space="preserve"> fraction</w:t>
            </w:r>
          </w:p>
        </w:tc>
        <w:tc>
          <w:tcPr>
            <w:tcW w:type="dxa" w:w="2520"/>
            <w:shd w:fill="EDF2F7" w:color="auto" w:val="clear"/>
            <w:tcMar>
              <w:top w:type="dxa" w:w="60"/>
              <w:left w:type="dxa" w:w="110"/>
              <w:bottom w:type="dxa" w:w="60"/>
              <w:right w:type="dxa" w:w="110"/>
            </w:tcMar>
          </w:tcPr>
          <w:p>
            <w:pPr>
              <w:spacing w:after="0" w:before="0"/>
            </w:pPr>
            <w:r>
              <w:rPr>
                <w:rFonts w:ascii="Consolas" w:cs="Consolas" w:eastAsia="Consolas" w:hAnsi="Consolas"/>
                <w:b/>
                <w:bCs/>
                <w:color w:val="1F4E79"/>
                <w:sz w:val="16"/>
                <w:szCs w:val="16"/>
              </w:rPr>
              <w:t xml:space="preserve">chignolin</w:t>
            </w:r>
            <w:r>
              <w:rPr>
                <w:b/>
                <w:bCs/>
                <w:color w:val="1F4E79"/>
                <w:sz w:val="18"/>
                <w:szCs w:val="18"/>
              </w:rPr>
              <w:t xml:space="preserve"> fraction</w:t>
            </w:r>
          </w:p>
        </w:tc>
        <w:tc>
          <w:tcPr>
            <w:tcW w:type="dxa" w:w="1800"/>
            <w:shd w:fill="EDF2F7" w:color="auto" w:val="clear"/>
            <w:tcMar>
              <w:top w:type="dxa" w:w="60"/>
              <w:left w:type="dxa" w:w="110"/>
              <w:bottom w:type="dxa" w:w="60"/>
              <w:right w:type="dxa" w:w="110"/>
            </w:tcMar>
          </w:tcPr>
          <w:p>
            <w:pPr>
              <w:spacing w:after="0" w:before="0"/>
            </w:pPr>
            <w:r>
              <w:rPr>
                <w:b/>
                <w:bCs/>
                <w:color w:val="1F4E79"/>
                <w:sz w:val="18"/>
                <w:szCs w:val="18"/>
              </w:rPr>
              <w:t xml:space="preserve">dominant weight</w:t>
            </w:r>
          </w:p>
        </w:tc>
      </w:tr>
      <w:tr>
        <w:trPr>
          <w:cantSplit/>
        </w:trPr>
        <w:tc>
          <w:tcPr>
            <w:tcW w:type="dxa" w:w="4080"/>
            <w:tcMar>
              <w:top w:type="dxa" w:w="60"/>
              <w:left w:type="dxa" w:w="110"/>
              <w:bottom w:type="dxa" w:w="60"/>
              <w:right w:type="dxa" w:w="110"/>
            </w:tcMar>
          </w:tcPr>
          <w:p>
            <w:pPr>
              <w:spacing w:after="0" w:before="0"/>
            </w:pPr>
            <w:r>
              <w:rPr>
                <w:sz w:val="18"/>
                <w:szCs w:val="18"/>
              </w:rPr>
              <w:t xml:space="preserve">β-extended / hairpin_beta</w:t>
            </w:r>
          </w:p>
        </w:tc>
        <w:tc>
          <w:tcPr>
            <w:tcW w:type="dxa" w:w="1680"/>
            <w:tcMar>
              <w:top w:type="dxa" w:w="60"/>
              <w:left w:type="dxa" w:w="110"/>
              <w:bottom w:type="dxa" w:w="60"/>
              <w:right w:type="dxa" w:w="110"/>
            </w:tcMar>
          </w:tcPr>
          <w:p>
            <w:pPr>
              <w:spacing w:after="0" w:before="0"/>
            </w:pPr>
            <w:r>
              <w:rPr>
                <w:sz w:val="18"/>
                <w:szCs w:val="18"/>
              </w:rPr>
              <w:t xml:space="preserve">0.30 (B 0.55)</w:t>
            </w:r>
          </w:p>
        </w:tc>
        <w:tc>
          <w:tcPr>
            <w:tcW w:type="dxa" w:w="2520"/>
            <w:tcMar>
              <w:top w:type="dxa" w:w="60"/>
              <w:left w:type="dxa" w:w="110"/>
              <w:bottom w:type="dxa" w:w="60"/>
              <w:right w:type="dxa" w:w="110"/>
            </w:tcMar>
          </w:tcPr>
          <w:p>
            <w:pPr>
              <w:spacing w:after="0" w:before="0"/>
            </w:pPr>
            <w:r>
              <w:rPr>
                <w:b/>
                <w:bCs/>
                <w:sz w:val="18"/>
                <w:szCs w:val="18"/>
              </w:rPr>
              <w:t xml:space="preserve">0.35 (B 0.60)</w:t>
            </w:r>
          </w:p>
        </w:tc>
        <w:tc>
          <w:tcPr>
            <w:tcW w:type="dxa" w:w="1800"/>
            <w:tcMar>
              <w:top w:type="dxa" w:w="60"/>
              <w:left w:type="dxa" w:w="110"/>
              <w:bottom w:type="dxa" w:w="60"/>
              <w:right w:type="dxa" w:w="110"/>
            </w:tcMar>
          </w:tcPr>
          <w:p>
            <w:pPr>
              <w:spacing w:after="0" w:before="0"/>
            </w:pPr>
            <w:r>
              <w:rPr>
                <w:sz w:val="18"/>
                <w:szCs w:val="18"/>
              </w:rPr>
              <w:t xml:space="preserve">β</w:t>
            </w:r>
          </w:p>
        </w:tc>
      </w:tr>
      <w:tr>
        <w:trPr>
          <w:cantSplit/>
        </w:trPr>
        <w:tc>
          <w:tcPr>
            <w:tcW w:type="dxa" w:w="4080"/>
            <w:tcMar>
              <w:top w:type="dxa" w:w="60"/>
              <w:left w:type="dxa" w:w="110"/>
              <w:bottom w:type="dxa" w:w="60"/>
              <w:right w:type="dxa" w:w="110"/>
            </w:tcMar>
          </w:tcPr>
          <w:p>
            <w:pPr>
              <w:spacing w:after="0" w:before="0"/>
            </w:pPr>
            <w:r>
              <w:rPr>
                <w:sz w:val="18"/>
                <w:szCs w:val="18"/>
              </w:rPr>
              <w:t xml:space="preserve">mixed_turns / turn_rich</w:t>
            </w:r>
          </w:p>
        </w:tc>
        <w:tc>
          <w:tcPr>
            <w:tcW w:type="dxa" w:w="1680"/>
            <w:tcMar>
              <w:top w:type="dxa" w:w="60"/>
              <w:left w:type="dxa" w:w="110"/>
              <w:bottom w:type="dxa" w:w="60"/>
              <w:right w:type="dxa" w:w="110"/>
            </w:tcMar>
          </w:tcPr>
          <w:p>
            <w:pPr>
              <w:spacing w:after="0" w:before="0"/>
            </w:pPr>
            <w:r>
              <w:rPr>
                <w:sz w:val="18"/>
                <w:szCs w:val="18"/>
              </w:rPr>
              <w:t xml:space="preserve">0.25 (T 0.35)</w:t>
            </w:r>
          </w:p>
        </w:tc>
        <w:tc>
          <w:tcPr>
            <w:tcW w:type="dxa" w:w="2520"/>
            <w:tcMar>
              <w:top w:type="dxa" w:w="60"/>
              <w:left w:type="dxa" w:w="110"/>
              <w:bottom w:type="dxa" w:w="60"/>
              <w:right w:type="dxa" w:w="110"/>
            </w:tcMar>
          </w:tcPr>
          <w:p>
            <w:pPr>
              <w:spacing w:after="0" w:before="0"/>
            </w:pPr>
            <w:r>
              <w:rPr>
                <w:b/>
                <w:bCs/>
                <w:sz w:val="18"/>
                <w:szCs w:val="18"/>
              </w:rPr>
              <w:t xml:space="preserve">0.30 (T 0.40)</w:t>
            </w:r>
          </w:p>
        </w:tc>
        <w:tc>
          <w:tcPr>
            <w:tcW w:type="dxa" w:w="1800"/>
            <w:tcMar>
              <w:top w:type="dxa" w:w="60"/>
              <w:left w:type="dxa" w:w="110"/>
              <w:bottom w:type="dxa" w:w="60"/>
              <w:right w:type="dxa" w:w="110"/>
            </w:tcMar>
          </w:tcPr>
          <w:p>
            <w:pPr>
              <w:spacing w:after="0" w:before="0"/>
            </w:pPr>
            <w:r>
              <w:rPr>
                <w:sz w:val="18"/>
                <w:szCs w:val="18"/>
              </w:rPr>
              <w:t xml:space="preserve">turn</w:t>
            </w:r>
          </w:p>
        </w:tc>
      </w:tr>
      <w:tr>
        <w:trPr>
          <w:cantSplit/>
        </w:trPr>
        <w:tc>
          <w:tcPr>
            <w:tcW w:type="dxa" w:w="4080"/>
            <w:tcMar>
              <w:top w:type="dxa" w:w="60"/>
              <w:left w:type="dxa" w:w="110"/>
              <w:bottom w:type="dxa" w:w="60"/>
              <w:right w:type="dxa" w:w="110"/>
            </w:tcMar>
          </w:tcPr>
          <w:p>
            <w:pPr>
              <w:spacing w:after="0" w:before="0"/>
            </w:pPr>
            <w:r>
              <w:rPr>
                <w:sz w:val="18"/>
                <w:szCs w:val="18"/>
              </w:rPr>
              <w:t xml:space="preserve">alpha_compact / compact_alpha_turn</w:t>
            </w:r>
          </w:p>
        </w:tc>
        <w:tc>
          <w:tcPr>
            <w:tcW w:type="dxa" w:w="1680"/>
            <w:tcMar>
              <w:top w:type="dxa" w:w="60"/>
              <w:left w:type="dxa" w:w="110"/>
              <w:bottom w:type="dxa" w:w="60"/>
              <w:right w:type="dxa" w:w="110"/>
            </w:tcMar>
          </w:tcPr>
          <w:p>
            <w:pPr>
              <w:spacing w:after="0" w:before="0"/>
            </w:pPr>
            <w:r>
              <w:rPr>
                <w:sz w:val="18"/>
                <w:szCs w:val="18"/>
              </w:rPr>
              <w:t xml:space="preserve">0.25 (A 0.65)</w:t>
            </w:r>
          </w:p>
        </w:tc>
        <w:tc>
          <w:tcPr>
            <w:tcW w:type="dxa" w:w="2520"/>
            <w:tcMar>
              <w:top w:type="dxa" w:w="60"/>
              <w:left w:type="dxa" w:w="110"/>
              <w:bottom w:type="dxa" w:w="60"/>
              <w:right w:type="dxa" w:w="110"/>
            </w:tcMar>
          </w:tcPr>
          <w:p>
            <w:pPr>
              <w:spacing w:after="0" w:before="0"/>
            </w:pPr>
            <w:r>
              <w:rPr>
                <w:b/>
                <w:bCs/>
                <w:sz w:val="18"/>
                <w:szCs w:val="18"/>
              </w:rPr>
              <w:t xml:space="preserve">0.15 (A 0.50)</w:t>
            </w:r>
          </w:p>
        </w:tc>
        <w:tc>
          <w:tcPr>
            <w:tcW w:type="dxa" w:w="1800"/>
            <w:tcMar>
              <w:top w:type="dxa" w:w="60"/>
              <w:left w:type="dxa" w:w="110"/>
              <w:bottom w:type="dxa" w:w="60"/>
              <w:right w:type="dxa" w:w="110"/>
            </w:tcMar>
          </w:tcPr>
          <w:p>
            <w:pPr>
              <w:spacing w:after="0" w:before="0"/>
            </w:pPr>
            <w:r>
              <w:rPr>
                <w:sz w:val="18"/>
                <w:szCs w:val="18"/>
              </w:rPr>
              <w:t xml:space="preserve">α</w:t>
            </w:r>
          </w:p>
        </w:tc>
      </w:tr>
      <w:tr>
        <w:trPr>
          <w:cantSplit/>
        </w:trPr>
        <w:tc>
          <w:tcPr>
            <w:tcW w:type="dxa" w:w="4080"/>
            <w:tcMar>
              <w:top w:type="dxa" w:w="60"/>
              <w:left w:type="dxa" w:w="110"/>
              <w:bottom w:type="dxa" w:w="60"/>
              <w:right w:type="dxa" w:w="110"/>
            </w:tcMar>
          </w:tcPr>
          <w:p>
            <w:pPr>
              <w:spacing w:after="0" w:before="0"/>
            </w:pPr>
            <w:r>
              <w:rPr>
                <w:sz w:val="18"/>
                <w:szCs w:val="18"/>
              </w:rPr>
              <w:t xml:space="preserve">gly_left / gly_left_turn</w:t>
            </w:r>
          </w:p>
        </w:tc>
        <w:tc>
          <w:tcPr>
            <w:tcW w:type="dxa" w:w="1680"/>
            <w:tcMar>
              <w:top w:type="dxa" w:w="60"/>
              <w:left w:type="dxa" w:w="110"/>
              <w:bottom w:type="dxa" w:w="60"/>
              <w:right w:type="dxa" w:w="110"/>
            </w:tcMar>
          </w:tcPr>
          <w:p>
            <w:pPr>
              <w:spacing w:after="0" w:before="0"/>
            </w:pPr>
            <w:r>
              <w:rPr>
                <w:sz w:val="18"/>
                <w:szCs w:val="18"/>
              </w:rPr>
              <w:t xml:space="preserve">0.10 (L 0.45)</w:t>
            </w:r>
          </w:p>
        </w:tc>
        <w:tc>
          <w:tcPr>
            <w:tcW w:type="dxa" w:w="2520"/>
            <w:tcMar>
              <w:top w:type="dxa" w:w="60"/>
              <w:left w:type="dxa" w:w="110"/>
              <w:bottom w:type="dxa" w:w="60"/>
              <w:right w:type="dxa" w:w="110"/>
            </w:tcMar>
          </w:tcPr>
          <w:p>
            <w:pPr>
              <w:spacing w:after="0" w:before="0"/>
            </w:pPr>
            <w:r>
              <w:rPr>
                <w:sz w:val="18"/>
                <w:szCs w:val="18"/>
              </w:rPr>
              <w:t xml:space="preserve">0.10 (L 0.55, T 0.15)</w:t>
            </w:r>
          </w:p>
        </w:tc>
        <w:tc>
          <w:tcPr>
            <w:tcW w:type="dxa" w:w="1800"/>
            <w:tcMar>
              <w:top w:type="dxa" w:w="60"/>
              <w:left w:type="dxa" w:w="110"/>
              <w:bottom w:type="dxa" w:w="60"/>
              <w:right w:type="dxa" w:w="110"/>
            </w:tcMar>
          </w:tcPr>
          <w:p>
            <w:pPr>
              <w:spacing w:after="0" w:before="0"/>
            </w:pPr>
            <w:r>
              <w:rPr>
                <w:sz w:val="18"/>
                <w:szCs w:val="18"/>
              </w:rPr>
              <w:t xml:space="preserve">left-α Gly</w:t>
            </w:r>
          </w:p>
        </w:tc>
      </w:tr>
    </w:tbl>
    <w:p>
      <w:pPr>
        <w:spacing w:after="200" w:before="0"/>
      </w:pPr>
      <w:r>
        <w:t xml:space="preserve"/>
      </w:r>
    </w:p>
    <w:p>
      <w:pPr>
        <w:spacing w:after="160" w:before="0" w:line="276"/>
        <w:jc w:val="both"/>
      </w:pPr>
      <w:r>
        <w:rPr>
          <w:sz w:val="20"/>
          <w:szCs w:val="20"/>
        </w:rPr>
        <w:t xml:space="preserve">β + turn mass rises 0.55 → 0.65 while α falls 0.25 → 0.15. Chignolin is a β-hairpin. </w:t>
      </w:r>
      <w:r>
        <w:rPr>
          <w:b/>
          <w:bCs/>
          <w:sz w:val="20"/>
          <w:szCs w:val="20"/>
        </w:rPr>
        <w:t xml:space="preserve">A preset named after the target upweights the target's fold class.</w:t>
      </w:r>
      <w:r>
        <w:rPr>
          <w:sz w:val="20"/>
          <w:szCs w:val="20"/>
        </w:rPr>
        <w:t xml:space="preserve"> No native coordinates enter, but fold-class prior knowledge does, and "no native input" is not a defensible description of it.</w:t>
      </w:r>
    </w:p>
    <w:p>
      <w:pPr>
        <w:spacing w:after="160" w:before="0" w:line="276"/>
        <w:jc w:val="both"/>
      </w:pPr>
      <w:r>
        <w:rPr>
          <w:b/>
          <w:bCs/>
          <w:sz w:val="20"/>
          <w:szCs w:val="20"/>
        </w:rPr>
        <w:t xml:space="preserve">What this does and does not invalidate.</w:t>
      </w:r>
      <w:r>
        <w:rPr>
          <w:sz w:val="20"/>
          <w:szCs w:val="20"/>
        </w:rPr>
        <w:t xml:space="preserve"> It does </w:t>
      </w:r>
      <w:r>
        <w:rPr>
          <w:i/>
          <w:iCs/>
          <w:sz w:val="20"/>
          <w:szCs w:val="20"/>
        </w:rPr>
        <w:t xml:space="preserve">not</w:t>
      </w:r>
      <w:r>
        <w:rPr>
          <w:sz w:val="20"/>
          <w:szCs w:val="20"/>
        </w:rPr>
        <w:t xml:space="preserve"> bias the free energies: the preset acts on seed generation, not on the Hamiltonian, and MBAR reweights from whatever was sampled. It </w:t>
      </w:r>
      <w:r>
        <w:rPr>
          <w:i/>
          <w:iCs/>
          <w:sz w:val="20"/>
          <w:szCs w:val="20"/>
        </w:rPr>
        <w:t xml:space="preserve">does</w:t>
      </w:r>
      <w:r>
        <w:rPr>
          <w:sz w:val="20"/>
          <w:szCs w:val="20"/>
        </w:rPr>
        <w:t xml:space="preserve"> weaken the discovery claim — finding a hairpin is less notable when the conformer library was seeded hairpin-rich — and it means the ab initio and validation modes must be separated at the GENPEPT layer too, exactly as §10 separates them at the CV-scorer layer:</w:t>
      </w:r>
    </w:p>
    <w:p>
      <w:pPr>
        <w:pStyle w:val="ListParagraph"/>
        <w:numPr>
          <w:ilvl w:val="0"/>
          <w:numId w:val="2"/>
        </w:numPr>
        <w:spacing w:after="100" w:before="60"/>
      </w:pPr>
      <w:r>
        <w:rPr>
          <w:sz w:val="20"/>
          <w:szCs w:val="20"/>
        </w:rPr>
        <w:t xml:space="preserve">ab initio production → </w:t>
      </w:r>
      <w:r>
        <w:rPr>
          <w:rFonts w:ascii="Consolas" w:cs="Consolas" w:eastAsia="Consolas" w:hAnsi="Consolas"/>
          <w:sz w:val="18"/>
          <w:szCs w:val="18"/>
        </w:rPr>
        <w:t xml:space="preserve">diversity_bank_preset: broad</w:t>
      </w:r>
    </w:p>
    <w:p>
      <w:pPr>
        <w:pStyle w:val="ListParagraph"/>
        <w:numPr>
          <w:ilvl w:val="0"/>
          <w:numId w:val="2"/>
        </w:numPr>
        <w:spacing w:after="100" w:before="60"/>
      </w:pPr>
      <w:r>
        <w:rPr>
          <w:sz w:val="20"/>
          <w:szCs w:val="20"/>
        </w:rPr>
        <w:t xml:space="preserve">methods-validation → </w:t>
      </w:r>
      <w:r>
        <w:rPr>
          <w:rFonts w:ascii="Consolas" w:cs="Consolas" w:eastAsia="Consolas" w:hAnsi="Consolas"/>
          <w:sz w:val="18"/>
          <w:szCs w:val="18"/>
        </w:rPr>
        <w:t xml:space="preserve">chignolin</w:t>
      </w:r>
      <w:r>
        <w:rPr>
          <w:sz w:val="20"/>
          <w:szCs w:val="20"/>
        </w:rPr>
        <w:t xml:space="preserve"> permitted, and recorded as such</w:t>
      </w:r>
    </w:p>
    <w:p>
      <w:pPr>
        <w:spacing w:after="160" w:before="0" w:line="276"/>
        <w:jc w:val="both"/>
      </w:pPr>
      <w:r>
        <w:rPr>
          <w:sz w:val="20"/>
          <w:szCs w:val="20"/>
        </w:rPr>
        <w:t xml:space="preserve">Two related knobs check out clean and should </w:t>
      </w:r>
      <w:r>
        <w:rPr>
          <w:i/>
          <w:iCs/>
          <w:sz w:val="20"/>
          <w:szCs w:val="20"/>
        </w:rPr>
        <w:t xml:space="preserve">not</w:t>
      </w:r>
      <w:r>
        <w:rPr>
          <w:sz w:val="20"/>
          <w:szCs w:val="20"/>
        </w:rPr>
        <w:t xml:space="preserve"> be lumped in with this: </w:t>
      </w:r>
      <w:r>
        <w:rPr>
          <w:rFonts w:ascii="Consolas" w:cs="Consolas" w:eastAsia="Consolas" w:hAnsi="Consolas"/>
          <w:sz w:val="18"/>
          <w:szCs w:val="18"/>
        </w:rPr>
        <w:t xml:space="preserve">contact_bias_strength = 0.15</w:t>
      </w:r>
      <w:r>
        <w:rPr>
          <w:sz w:val="20"/>
          <w:szCs w:val="20"/>
        </w:rPr>
        <w:t xml:space="preserve"> resolves (</w:t>
      </w:r>
      <w:r>
        <w:rPr>
          <w:rFonts w:ascii="Consolas" w:cs="Consolas" w:eastAsia="Consolas" w:hAnsi="Consolas"/>
          <w:sz w:val="18"/>
          <w:szCs w:val="18"/>
        </w:rPr>
        <w:t xml:space="preserve">GENPEPT.py:1841–1850</w:t>
      </w:r>
      <w:r>
        <w:rPr>
          <w:sz w:val="20"/>
          <w:szCs w:val="20"/>
        </w:rPr>
        <w:t xml:space="preserve">) to </w:t>
      </w:r>
      <w:r>
        <w:rPr>
          <w:rFonts w:ascii="Consolas" w:cs="Consolas" w:eastAsia="Consolas" w:hAnsi="Consolas"/>
          <w:sz w:val="18"/>
          <w:szCs w:val="18"/>
        </w:rPr>
        <w:t xml:space="preserve">exp(0.15·(ccount − ccount_max))</w:t>
      </w:r>
      <w:r>
        <w:rPr>
          <w:sz w:val="20"/>
          <w:szCs w:val="20"/>
        </w:rPr>
        <w:t xml:space="preserve">, a generic compaction prior with no fold information; and </w:t>
      </w:r>
      <w:r>
        <w:rPr>
          <w:rFonts w:ascii="Consolas" w:cs="Consolas" w:eastAsia="Consolas" w:hAnsi="Consolas"/>
          <w:sz w:val="18"/>
          <w:szCs w:val="18"/>
        </w:rPr>
        <w:t xml:space="preserve">adaptive_register_threshold.json</w:t>
      </w:r>
      <w:r>
        <w:rPr>
          <w:sz w:val="20"/>
          <w:szCs w:val="20"/>
        </w:rPr>
        <w:t xml:space="preserve"> is fit from the library's own N–O distance histogram (rep5_t7: </w:t>
      </w:r>
      <w:r>
        <w:rPr>
          <w:rFonts w:ascii="Consolas" w:cs="Consolas" w:eastAsia="Consolas" w:hAnsi="Consolas"/>
          <w:sz w:val="18"/>
          <w:szCs w:val="18"/>
        </w:rPr>
        <w:t xml:space="preserve">valley_detected: true</w:t>
      </w:r>
      <w:r>
        <w:rPr>
          <w:sz w:val="20"/>
          <w:szCs w:val="20"/>
        </w:rPr>
        <w:t xml:space="preserve">, τ = 5.31 Å over 86,400 distances), not from 1UAO. Note it differs per bank — the verification document records rep4 as </w:t>
      </w:r>
      <w:r>
        <w:rPr>
          <w:rFonts w:ascii="Consolas" w:cs="Consolas" w:eastAsia="Consolas" w:hAnsi="Consolas"/>
          <w:sz w:val="18"/>
          <w:szCs w:val="18"/>
        </w:rPr>
        <w:t xml:space="preserve">valley_detected: false</w:t>
      </w:r>
      <w:r>
        <w:rPr>
          <w:sz w:val="20"/>
          <w:szCs w:val="20"/>
        </w:rPr>
        <w:t xml:space="preserve">, fallback 3.8 Å.</w:t>
      </w:r>
    </w:p>
    <w:p>
      <w:pPr>
        <w:pStyle w:val="Heading1"/>
        <w:keepNext/>
        <w:spacing w:after="120" w:before="320"/>
      </w:pPr>
      <w:r>
        <w:rPr>
          <w:b/>
          <w:bCs/>
          <w:color w:val="1F4E79"/>
          <w:sz w:val="26"/>
          <w:szCs w:val="26"/>
        </w:rPr>
        <w:t xml:space="preserve">R2. HIGH — "~34 µs" is the most favourable of three defensible numbers</w:t>
      </w:r>
    </w:p>
    <w:p>
      <w:pPr>
        <w:spacing w:after="160" w:before="0" w:line="276"/>
        <w:jc w:val="both"/>
      </w:pPr>
      <w:r>
        <w:rPr>
          <w:sz w:val="20"/>
          <w:szCs w:val="20"/>
        </w:rPr>
        <w:t xml:space="preserve">§5.4 leads its table with </w:t>
      </w:r>
      <w:r>
        <w:rPr>
          <w:b/>
          <w:bCs/>
          <w:sz w:val="20"/>
          <w:szCs w:val="20"/>
        </w:rPr>
        <w:t xml:space="preserve">1</w:t>
      </w:r>
      <w:r>
        <w:rPr>
          <w:sz w:val="20"/>
          <w:szCs w:val="20"/>
        </w:rPr>
        <w:t xml:space="preserve"> folding event under Satoh's exact Cα thresholds, then states a rate of "0.7–4.7 events per µs → </w:t>
      </w:r>
      <w:r>
        <w:rPr>
          <w:b/>
          <w:bCs/>
          <w:sz w:val="20"/>
          <w:szCs w:val="20"/>
        </w:rPr>
        <w:t xml:space="preserve">~34 µs</w:t>
      </w:r>
      <w:r>
        <w:rPr>
          <w:sz w:val="20"/>
          <w:szCs w:val="20"/>
        </w:rPr>
        <w:t xml:space="preserve">" for 159 events. The 0.7 corresponds to the </w:t>
      </w:r>
      <w:r>
        <w:rPr>
          <w:i/>
          <w:iCs/>
          <w:sz w:val="20"/>
          <w:szCs w:val="20"/>
        </w:rPr>
        <w:t xml:space="preserve">backbone</w:t>
      </w:r>
      <w:r>
        <w:rPr>
          <w:sz w:val="20"/>
          <w:szCs w:val="20"/>
        </w:rPr>
        <w:t xml:space="preserve"> count of 4, not to the 1 the table leads with. Over the report's own three definitions: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3431"/>
        <w:gridCol w:w="1287"/>
        <w:gridCol w:w="1716"/>
        <w:gridCol w:w="3646"/>
      </w:tblGrid>
      <w:tr>
        <w:trPr>
          <w:cantSplit/>
          <w:tblHeader/>
        </w:trPr>
        <w:tc>
          <w:tcPr>
            <w:tcW w:type="dxa" w:w="3431"/>
            <w:shd w:fill="EDF2F7" w:color="auto" w:val="clear"/>
            <w:tcMar>
              <w:top w:type="dxa" w:w="60"/>
              <w:left w:type="dxa" w:w="110"/>
              <w:bottom w:type="dxa" w:w="60"/>
              <w:right w:type="dxa" w:w="110"/>
            </w:tcMar>
          </w:tcPr>
          <w:p>
            <w:pPr>
              <w:spacing w:after="0" w:before="0"/>
            </w:pPr>
            <w:r>
              <w:rPr>
                <w:b/>
                <w:bCs/>
                <w:color w:val="1F4E79"/>
                <w:sz w:val="18"/>
                <w:szCs w:val="18"/>
              </w:rPr>
              <w:t xml:space="preserve">definition</w:t>
            </w:r>
          </w:p>
        </w:tc>
        <w:tc>
          <w:tcPr>
            <w:tcW w:type="dxa" w:w="1287"/>
            <w:shd w:fill="EDF2F7" w:color="auto" w:val="clear"/>
            <w:tcMar>
              <w:top w:type="dxa" w:w="60"/>
              <w:left w:type="dxa" w:w="110"/>
              <w:bottom w:type="dxa" w:w="60"/>
              <w:right w:type="dxa" w:w="110"/>
            </w:tcMar>
          </w:tcPr>
          <w:p>
            <w:pPr>
              <w:spacing w:after="0" w:before="0"/>
            </w:pPr>
            <w:r>
              <w:rPr>
                <w:b/>
                <w:bCs/>
                <w:color w:val="1F4E79"/>
                <w:sz w:val="18"/>
                <w:szCs w:val="18"/>
              </w:rPr>
              <w:t xml:space="preserve">events</w:t>
            </w:r>
          </w:p>
        </w:tc>
        <w:tc>
          <w:tcPr>
            <w:tcW w:type="dxa" w:w="1716"/>
            <w:shd w:fill="EDF2F7" w:color="auto" w:val="clear"/>
            <w:tcMar>
              <w:top w:type="dxa" w:w="60"/>
              <w:left w:type="dxa" w:w="110"/>
              <w:bottom w:type="dxa" w:w="60"/>
              <w:right w:type="dxa" w:w="110"/>
            </w:tcMar>
          </w:tcPr>
          <w:p>
            <w:pPr>
              <w:spacing w:after="0" w:before="0"/>
            </w:pPr>
            <w:r>
              <w:rPr>
                <w:b/>
                <w:bCs/>
                <w:color w:val="1F4E79"/>
                <w:sz w:val="18"/>
                <w:szCs w:val="18"/>
              </w:rPr>
              <w:t xml:space="preserve">rate</w:t>
            </w:r>
          </w:p>
        </w:tc>
        <w:tc>
          <w:tcPr>
            <w:tcW w:type="dxa" w:w="3646"/>
            <w:shd w:fill="EDF2F7" w:color="auto" w:val="clear"/>
            <w:tcMar>
              <w:top w:type="dxa" w:w="60"/>
              <w:left w:type="dxa" w:w="110"/>
              <w:bottom w:type="dxa" w:w="60"/>
              <w:right w:type="dxa" w:w="110"/>
            </w:tcMar>
          </w:tcPr>
          <w:p>
            <w:pPr>
              <w:spacing w:after="0" w:before="0"/>
            </w:pPr>
            <w:r>
              <w:rPr>
                <w:b/>
                <w:bCs/>
                <w:color w:val="1F4E79"/>
                <w:sz w:val="18"/>
                <w:szCs w:val="18"/>
              </w:rPr>
              <w:t xml:space="preserve">µs needed for 159</w:t>
            </w:r>
          </w:p>
        </w:tc>
      </w:tr>
      <w:tr>
        <w:trPr>
          <w:cantSplit/>
        </w:trPr>
        <w:tc>
          <w:tcPr>
            <w:tcW w:type="dxa" w:w="3431"/>
            <w:tcMar>
              <w:top w:type="dxa" w:w="60"/>
              <w:left w:type="dxa" w:w="110"/>
              <w:bottom w:type="dxa" w:w="60"/>
              <w:right w:type="dxa" w:w="110"/>
            </w:tcMar>
          </w:tcPr>
          <w:p>
            <w:pPr>
              <w:spacing w:after="0" w:before="0"/>
            </w:pPr>
            <w:r>
              <w:rPr>
                <w:sz w:val="18"/>
                <w:szCs w:val="18"/>
              </w:rPr>
              <w:t xml:space="preserve">Satoh-exact Cα</w:t>
            </w:r>
          </w:p>
        </w:tc>
        <w:tc>
          <w:tcPr>
            <w:tcW w:type="dxa" w:w="1287"/>
            <w:tcMar>
              <w:top w:type="dxa" w:w="60"/>
              <w:left w:type="dxa" w:w="110"/>
              <w:bottom w:type="dxa" w:w="60"/>
              <w:right w:type="dxa" w:w="110"/>
            </w:tcMar>
          </w:tcPr>
          <w:p>
            <w:pPr>
              <w:spacing w:after="0" w:before="0"/>
            </w:pPr>
            <w:r>
              <w:rPr>
                <w:sz w:val="18"/>
                <w:szCs w:val="18"/>
              </w:rPr>
              <w:t xml:space="preserve">1</w:t>
            </w:r>
          </w:p>
        </w:tc>
        <w:tc>
          <w:tcPr>
            <w:tcW w:type="dxa" w:w="1716"/>
            <w:tcMar>
              <w:top w:type="dxa" w:w="60"/>
              <w:left w:type="dxa" w:w="110"/>
              <w:bottom w:type="dxa" w:w="60"/>
              <w:right w:type="dxa" w:w="110"/>
            </w:tcMar>
          </w:tcPr>
          <w:p>
            <w:pPr>
              <w:spacing w:after="0" w:before="0"/>
            </w:pPr>
            <w:r>
              <w:rPr>
                <w:sz w:val="18"/>
                <w:szCs w:val="18"/>
              </w:rPr>
              <w:t xml:space="preserve">0.19 /µs</w:t>
            </w:r>
          </w:p>
        </w:tc>
        <w:tc>
          <w:tcPr>
            <w:tcW w:type="dxa" w:w="3646"/>
            <w:tcMar>
              <w:top w:type="dxa" w:w="60"/>
              <w:left w:type="dxa" w:w="110"/>
              <w:bottom w:type="dxa" w:w="60"/>
              <w:right w:type="dxa" w:w="110"/>
            </w:tcMar>
          </w:tcPr>
          <w:p>
            <w:pPr>
              <w:spacing w:after="0" w:before="0"/>
            </w:pPr>
            <w:r>
              <w:rPr>
                <w:b/>
                <w:bCs/>
                <w:sz w:val="18"/>
                <w:szCs w:val="18"/>
              </w:rPr>
              <w:t xml:space="preserve">851</w:t>
            </w:r>
          </w:p>
        </w:tc>
      </w:tr>
      <w:tr>
        <w:trPr>
          <w:cantSplit/>
        </w:trPr>
        <w:tc>
          <w:tcPr>
            <w:tcW w:type="dxa" w:w="3431"/>
            <w:tcMar>
              <w:top w:type="dxa" w:w="60"/>
              <w:left w:type="dxa" w:w="110"/>
              <w:bottom w:type="dxa" w:w="60"/>
              <w:right w:type="dxa" w:w="110"/>
            </w:tcMar>
          </w:tcPr>
          <w:p>
            <w:pPr>
              <w:spacing w:after="0" w:before="0"/>
            </w:pPr>
            <w:r>
              <w:rPr>
                <w:sz w:val="18"/>
                <w:szCs w:val="18"/>
              </w:rPr>
              <w:t xml:space="preserve">backbone res 2–9</w:t>
            </w:r>
          </w:p>
        </w:tc>
        <w:tc>
          <w:tcPr>
            <w:tcW w:type="dxa" w:w="1287"/>
            <w:tcMar>
              <w:top w:type="dxa" w:w="60"/>
              <w:left w:type="dxa" w:w="110"/>
              <w:bottom w:type="dxa" w:w="60"/>
              <w:right w:type="dxa" w:w="110"/>
            </w:tcMar>
          </w:tcPr>
          <w:p>
            <w:pPr>
              <w:spacing w:after="0" w:before="0"/>
            </w:pPr>
            <w:r>
              <w:rPr>
                <w:sz w:val="18"/>
                <w:szCs w:val="18"/>
              </w:rPr>
              <w:t xml:space="preserve">4</w:t>
            </w:r>
          </w:p>
        </w:tc>
        <w:tc>
          <w:tcPr>
            <w:tcW w:type="dxa" w:w="1716"/>
            <w:tcMar>
              <w:top w:type="dxa" w:w="60"/>
              <w:left w:type="dxa" w:w="110"/>
              <w:bottom w:type="dxa" w:w="60"/>
              <w:right w:type="dxa" w:w="110"/>
            </w:tcMar>
          </w:tcPr>
          <w:p>
            <w:pPr>
              <w:spacing w:after="0" w:before="0"/>
            </w:pPr>
            <w:r>
              <w:rPr>
                <w:sz w:val="18"/>
                <w:szCs w:val="18"/>
              </w:rPr>
              <w:t xml:space="preserve">0.75 /µs</w:t>
            </w:r>
          </w:p>
        </w:tc>
        <w:tc>
          <w:tcPr>
            <w:tcW w:type="dxa" w:w="3646"/>
            <w:tcMar>
              <w:top w:type="dxa" w:w="60"/>
              <w:left w:type="dxa" w:w="110"/>
              <w:bottom w:type="dxa" w:w="60"/>
              <w:right w:type="dxa" w:w="110"/>
            </w:tcMar>
          </w:tcPr>
          <w:p>
            <w:pPr>
              <w:spacing w:after="0" w:before="0"/>
            </w:pPr>
            <w:r>
              <w:rPr>
                <w:sz w:val="18"/>
                <w:szCs w:val="18"/>
              </w:rPr>
              <w:t xml:space="preserve">213</w:t>
            </w:r>
          </w:p>
        </w:tc>
      </w:tr>
      <w:tr>
        <w:trPr>
          <w:cantSplit/>
        </w:trPr>
        <w:tc>
          <w:tcPr>
            <w:tcW w:type="dxa" w:w="3431"/>
            <w:tcMar>
              <w:top w:type="dxa" w:w="60"/>
              <w:left w:type="dxa" w:w="110"/>
              <w:bottom w:type="dxa" w:w="60"/>
              <w:right w:type="dxa" w:w="110"/>
            </w:tcMar>
          </w:tcPr>
          <w:p>
            <w:pPr>
              <w:spacing w:after="0" w:before="0"/>
            </w:pPr>
            <w:r>
              <w:rPr>
                <w:sz w:val="18"/>
                <w:szCs w:val="18"/>
              </w:rPr>
              <w:t xml:space="preserve">loose (≤ 1.5 Å)</w:t>
            </w:r>
          </w:p>
        </w:tc>
        <w:tc>
          <w:tcPr>
            <w:tcW w:type="dxa" w:w="1287"/>
            <w:tcMar>
              <w:top w:type="dxa" w:w="60"/>
              <w:left w:type="dxa" w:w="110"/>
              <w:bottom w:type="dxa" w:w="60"/>
              <w:right w:type="dxa" w:w="110"/>
            </w:tcMar>
          </w:tcPr>
          <w:p>
            <w:pPr>
              <w:spacing w:after="0" w:before="0"/>
            </w:pPr>
            <w:r>
              <w:rPr>
                <w:sz w:val="18"/>
                <w:szCs w:val="18"/>
              </w:rPr>
              <w:t xml:space="preserve">25</w:t>
            </w:r>
          </w:p>
        </w:tc>
        <w:tc>
          <w:tcPr>
            <w:tcW w:type="dxa" w:w="1716"/>
            <w:tcMar>
              <w:top w:type="dxa" w:w="60"/>
              <w:left w:type="dxa" w:w="110"/>
              <w:bottom w:type="dxa" w:w="60"/>
              <w:right w:type="dxa" w:w="110"/>
            </w:tcMar>
          </w:tcPr>
          <w:p>
            <w:pPr>
              <w:spacing w:after="0" w:before="0"/>
            </w:pPr>
            <w:r>
              <w:rPr>
                <w:sz w:val="18"/>
                <w:szCs w:val="18"/>
              </w:rPr>
              <w:t xml:space="preserve">4.67 /µs</w:t>
            </w:r>
          </w:p>
        </w:tc>
        <w:tc>
          <w:tcPr>
            <w:tcW w:type="dxa" w:w="3646"/>
            <w:tcMar>
              <w:top w:type="dxa" w:w="60"/>
              <w:left w:type="dxa" w:w="110"/>
              <w:bottom w:type="dxa" w:w="60"/>
              <w:right w:type="dxa" w:w="110"/>
            </w:tcMar>
          </w:tcPr>
          <w:p>
            <w:pPr>
              <w:spacing w:after="0" w:before="0"/>
            </w:pPr>
            <w:r>
              <w:rPr>
                <w:b/>
                <w:bCs/>
                <w:sz w:val="18"/>
                <w:szCs w:val="18"/>
              </w:rPr>
              <w:t xml:space="preserve">34</w:t>
            </w:r>
          </w:p>
        </w:tc>
      </w:tr>
    </w:tbl>
    <w:p>
      <w:pPr>
        <w:spacing w:after="200" w:before="0"/>
      </w:pPr>
      <w:r>
        <w:t xml:space="preserve"/>
      </w:r>
    </w:p>
    <w:p>
      <w:pPr>
        <w:spacing w:after="160" w:before="0" w:line="276"/>
        <w:jc w:val="both"/>
      </w:pPr>
      <w:r>
        <w:rPr>
          <w:sz w:val="20"/>
          <w:szCs w:val="20"/>
        </w:rPr>
        <w:t xml:space="preserve">The honest statement is </w:t>
      </w:r>
      <w:r>
        <w:rPr>
          <w:b/>
          <w:bCs/>
          <w:sz w:val="20"/>
          <w:szCs w:val="20"/>
        </w:rPr>
        <w:t xml:space="preserve">34–851 µs</w:t>
      </w:r>
      <w:r>
        <w:rPr>
          <w:sz w:val="20"/>
          <w:szCs w:val="20"/>
        </w:rPr>
        <w:t xml:space="preserve">, i.e. the shortfall is one to </w:t>
      </w:r>
      <w:r>
        <w:rPr>
          <w:b/>
          <w:bCs/>
          <w:sz w:val="20"/>
          <w:szCs w:val="20"/>
        </w:rPr>
        <w:t xml:space="preserve">two and a half</w:t>
      </w:r>
      <w:r>
        <w:rPr>
          <w:sz w:val="20"/>
          <w:szCs w:val="20"/>
        </w:rPr>
        <w:t xml:space="preserve"> orders of magnitude, not the single order the "~34 µs" figure implies. The direction of the error favours the author's own campaign, which is the worst direction for it to run in.</w:t>
      </w:r>
    </w:p>
    <w:p>
      <w:pPr>
        <w:pStyle w:val="Heading1"/>
        <w:keepNext/>
        <w:spacing w:after="120" w:before="320"/>
      </w:pPr>
      <w:r>
        <w:rPr>
          <w:b/>
          <w:bCs/>
          <w:color w:val="1F4E79"/>
          <w:sz w:val="26"/>
          <w:szCs w:val="26"/>
        </w:rPr>
        <w:t xml:space="preserve">R3. MEDIUM — the boost mechanism is stated incorrectly</w:t>
      </w:r>
    </w:p>
    <w:p>
      <w:pPr>
        <w:spacing w:after="160" w:before="0" w:line="276"/>
        <w:jc w:val="both"/>
      </w:pPr>
      <w:r>
        <w:rPr>
          <w:sz w:val="20"/>
          <w:szCs w:val="20"/>
        </w:rPr>
        <w:t xml:space="preserve">§5.5: </w:t>
      </w:r>
      <w:r>
        <w:rPr>
          <w:i/>
          <w:iCs/>
          <w:sz w:val="20"/>
          <w:szCs w:val="20"/>
        </w:rPr>
        <w:t xml:space="preserve">"An upper bound on the rate enhancement is exp(⟨ΔV⟩/k_BT) ≈ 33×, and the realised speedup is smaller because only boost </w:t>
      </w:r>
      <w:r>
        <w:rPr>
          <w:i/>
          <w:iCs/>
          <w:sz w:val="20"/>
          <w:szCs w:val="20"/>
        </w:rPr>
        <w:t xml:space="preserve">at the barrier</w:t>
      </w:r>
      <w:r>
        <w:rPr>
          <w:i/>
          <w:iCs/>
          <w:sz w:val="20"/>
          <w:szCs w:val="20"/>
        </w:rPr>
        <w:t xml:space="preserve"> counts."</w:t>
      </w:r>
    </w:p>
    <w:p>
      <w:pPr>
        <w:spacing w:after="160" w:before="0" w:line="276"/>
        <w:jc w:val="both"/>
      </w:pPr>
      <w:r>
        <w:rPr>
          <w:sz w:val="20"/>
          <w:szCs w:val="20"/>
        </w:rPr>
        <w:t xml:space="preserve">Two problems. First, exp(⟨ΔV⟩/k_BT) is a heuristic, not an upper bound — there is no derivation in the report making it one. Second, "only boost at the barrier counts" is the wrong mechanism: for lower-bound GaMD, ΔV = ½k(E−V)² is </w:t>
      </w:r>
      <w:r>
        <w:rPr>
          <w:i/>
          <w:iCs/>
          <w:sz w:val="20"/>
          <w:szCs w:val="20"/>
        </w:rPr>
        <w:t xml:space="preserve">largest in deep wells</w:t>
      </w:r>
      <w:r>
        <w:rPr>
          <w:sz w:val="20"/>
          <w:szCs w:val="20"/>
        </w:rPr>
        <w:t xml:space="preserve"> and zero once V ≥ E, so the boost works by filling wells, not by lowering barrier tops. What governs the rate is the </w:t>
      </w:r>
      <w:r>
        <w:rPr>
          <w:b/>
          <w:bCs/>
          <w:sz w:val="20"/>
          <w:szCs w:val="20"/>
        </w:rPr>
        <w:t xml:space="preserve">difference</w:t>
      </w:r>
      <w:r>
        <w:rPr>
          <w:sz w:val="20"/>
          <w:szCs w:val="20"/>
        </w:rPr>
        <w:t xml:space="preserve"> in boost between the reactant well and the transition region, not the boost at the barrier. The conclusion (2.08 kcal/mol mean is too small against a microsecond barrier) survives, but the stated reason does not, and a reader who inherits the wrong mechanism will tune the wrong knob.</w:t>
      </w:r>
    </w:p>
    <w:p>
      <w:pPr>
        <w:pStyle w:val="Heading1"/>
        <w:keepNext/>
        <w:spacing w:after="120" w:before="320"/>
      </w:pPr>
      <w:r>
        <w:rPr>
          <w:b/>
          <w:bCs/>
          <w:color w:val="1F4E79"/>
          <w:sz w:val="26"/>
          <w:szCs w:val="26"/>
        </w:rPr>
        <w:t xml:space="preserve">R4. MEDIUM — "the ladder is not what is broken" conflates mixing with overlap</w:t>
      </w:r>
    </w:p>
    <w:p>
      <w:pPr>
        <w:spacing w:after="160" w:before="0" w:line="276"/>
        <w:jc w:val="both"/>
      </w:pPr>
      <w:r>
        <w:rPr>
          <w:sz w:val="20"/>
          <w:szCs w:val="20"/>
        </w:rPr>
        <w:t xml:space="preserve">§6 concludes this from 42,724 λ round trips and 0.82 acceptance. Round trips establish </w:t>
      </w:r>
      <w:r>
        <w:rPr>
          <w:b/>
          <w:bCs/>
          <w:sz w:val="20"/>
          <w:szCs w:val="20"/>
        </w:rPr>
        <w:t xml:space="preserve">ergodic mixing across states</w:t>
      </w:r>
      <w:r>
        <w:rPr>
          <w:sz w:val="20"/>
          <w:szCs w:val="20"/>
        </w:rPr>
        <w:t xml:space="preserve">; MBAR's free-energy </w:t>
      </w:r>
      <w:r>
        <w:rPr>
          <w:i/>
          <w:iCs/>
          <w:sz w:val="20"/>
          <w:szCs w:val="20"/>
        </w:rPr>
        <w:t xml:space="preserve">variance</w:t>
      </w:r>
      <w:r>
        <w:rPr>
          <w:sz w:val="20"/>
          <w:szCs w:val="20"/>
        </w:rPr>
        <w:t xml:space="preserve"> is governed by pairwise phase-space </w:t>
      </w:r>
      <w:r>
        <w:rPr>
          <w:b/>
          <w:bCs/>
          <w:sz w:val="20"/>
          <w:szCs w:val="20"/>
        </w:rPr>
        <w:t xml:space="preserve">overlap</w:t>
      </w:r>
      <w:r>
        <w:rPr>
          <w:sz w:val="20"/>
          <w:szCs w:val="20"/>
        </w:rPr>
        <w:t xml:space="preserve">, which the quality gate measures at 0.065–0.15 against a 0.15 target. Both can be true at once: the walkers traverse the ladder freely while neighbouring states still share little weight mass. The sentence as written reads as a clearance of the ladder for free-energy precision, which the data do not support. It should be scoped to sampling.</w:t>
      </w:r>
    </w:p>
    <w:p>
      <w:pPr>
        <w:pStyle w:val="Heading1"/>
        <w:keepNext/>
        <w:spacing w:after="120" w:before="320"/>
      </w:pPr>
      <w:r>
        <w:rPr>
          <w:b/>
          <w:bCs/>
          <w:color w:val="1F4E79"/>
          <w:sz w:val="26"/>
          <w:szCs w:val="26"/>
        </w:rPr>
        <w:t xml:space="preserve">R5. MEDIUM — §10 is softer than the author's own measurement warrants</w:t>
      </w:r>
    </w:p>
    <w:p>
      <w:pPr>
        <w:spacing w:after="160" w:before="0" w:line="276"/>
        <w:jc w:val="both"/>
      </w:pPr>
      <w:r>
        <w:rPr>
          <w:sz w:val="20"/>
          <w:szCs w:val="20"/>
        </w:rPr>
        <w:t xml:space="preserve">§10 frames the open decision as </w:t>
      </w:r>
      <w:r>
        <w:rPr>
          <w:i/>
          <w:iCs/>
          <w:sz w:val="20"/>
          <w:szCs w:val="20"/>
        </w:rPr>
        <w:t xml:space="preserve">"the scoring function is the whole decision"</w:t>
      </w:r>
      <w:r>
        <w:rPr>
          <w:sz w:val="20"/>
          <w:szCs w:val="20"/>
        </w:rPr>
        <w:t xml:space="preserve">. The measurement is stronger than that. Variance picks PC1, conditional multimodality picks PC4, implied timescale picks PC1, and </w:t>
      </w:r>
      <w:r>
        <w:rPr>
          <w:b/>
          <w:bCs/>
          <w:sz w:val="20"/>
          <w:szCs w:val="20"/>
        </w:rPr>
        <w:t xml:space="preserve">correlation(timescale, AUROC) = −0.033</w:t>
      </w:r>
      <w:r>
        <w:rPr>
          <w:sz w:val="20"/>
          <w:szCs w:val="20"/>
        </w:rPr>
        <w:t xml:space="preserve"> across six components whose timescales span only 306–473 ps. No unsupervised rule tested recovers the supervised pick.</w:t>
      </w:r>
    </w:p>
    <w:p>
      <w:pPr>
        <w:spacing w:after="160" w:before="0" w:line="276"/>
        <w:jc w:val="both"/>
      </w:pPr>
      <w:r>
        <w:rPr>
          <w:sz w:val="20"/>
          <w:szCs w:val="20"/>
        </w:rPr>
        <w:t xml:space="preserve">The defensible statement is: </w:t>
      </w:r>
      <w:r>
        <w:rPr>
          <w:b/>
          <w:bCs/>
          <w:sz w:val="20"/>
          <w:szCs w:val="20"/>
        </w:rPr>
        <w:t xml:space="preserve">for this system, ab initio selection of the second CV is currently unsolved</w:t>
      </w:r>
      <w:r>
        <w:rPr>
          <w:sz w:val="20"/>
          <w:szCs w:val="20"/>
        </w:rPr>
        <w:t xml:space="preserve"> — not merely "pending a criterion choice". A reader should not be left expecting that plugging in the η²/reweight scorer will land on PC2; it may well pick PC1 or PC4, and if it does, that is the ab initio answer and PC2 is not available to an ab initio campaign. The report should say this before proposing the pluggable scorer, not after.</w:t>
      </w:r>
    </w:p>
    <w:p>
      <w:pPr>
        <w:pStyle w:val="Heading1"/>
        <w:keepNext/>
        <w:spacing w:after="120" w:before="320"/>
      </w:pPr>
      <w:r>
        <w:rPr>
          <w:b/>
          <w:bCs/>
          <w:color w:val="1F4E79"/>
          <w:sz w:val="26"/>
          <w:szCs w:val="26"/>
        </w:rPr>
        <w:t xml:space="preserve">R6. LOW — surviving asymmetries</w:t>
      </w:r>
    </w:p>
    <w:p>
      <w:pPr>
        <w:pStyle w:val="ListParagraph"/>
        <w:numPr>
          <w:ilvl w:val="0"/>
          <w:numId w:val="2"/>
        </w:numPr>
        <w:spacing w:after="100" w:before="60"/>
      </w:pPr>
      <w:r>
        <w:rPr>
          <w:sz w:val="20"/>
          <w:szCs w:val="20"/>
        </w:rPr>
        <w:t xml:space="preserve">§5.6 correctly calls the estimator spread "a disclosure, not corroboration", but §5.2's table still presents four minima as though jointly informative; only </w:t>
      </w:r>
      <w:r>
        <w:rPr>
          <w:rFonts w:ascii="Consolas" w:cs="Consolas" w:eastAsia="Consolas" w:hAnsi="Consolas"/>
          <w:sz w:val="18"/>
          <w:szCs w:val="18"/>
        </w:rPr>
        <w:t xml:space="preserve">umbrella_only</w:t>
      </w:r>
      <w:r>
        <w:rPr>
          <w:sz w:val="20"/>
          <w:szCs w:val="20"/>
        </w:rPr>
        <w:t xml:space="preserve"> is valid.</w:t>
      </w:r>
    </w:p>
    <w:p>
      <w:pPr>
        <w:pStyle w:val="ListParagraph"/>
        <w:numPr>
          <w:ilvl w:val="0"/>
          <w:numId w:val="2"/>
        </w:numPr>
        <w:spacing w:after="100" w:before="60"/>
      </w:pPr>
      <w:r>
        <w:rPr>
          <w:sz w:val="20"/>
          <w:szCs w:val="20"/>
        </w:rPr>
        <w:t xml:space="preserve">§12 step 1 (420 K validation) is the highest-value action and is listed first, but steps 2–3 (adding Asp3O–Gly7N, the restraint-satisfaction metric) are near-free and gate interpretation of everything downstream. They belong before, not after, any new production.</w:t>
      </w:r>
    </w:p>
    <w:p>
      <w:pPr>
        <w:pStyle w:val="ListParagraph"/>
        <w:numPr>
          <w:ilvl w:val="0"/>
          <w:numId w:val="2"/>
        </w:numPr>
        <w:spacing w:after="100" w:before="60"/>
      </w:pPr>
      <w:r>
        <w:rPr>
          <w:sz w:val="20"/>
          <w:szCs w:val="20"/>
        </w:rPr>
        <w:t xml:space="preserve">The report never states its own provenance limitation: every number in it derives from one campaign on one peptide with one force field. It reads as more general than it is.</w:t>
      </w:r>
    </w:p>
    <w:p>
      <w:pPr>
        <w:pStyle w:val="Heading1"/>
        <w:keepNext/>
        <w:spacing w:after="120" w:before="320"/>
      </w:pPr>
      <w:r>
        <w:rPr>
          <w:b/>
          <w:bCs/>
          <w:color w:val="1F4E79"/>
          <w:sz w:val="26"/>
          <w:szCs w:val="26"/>
        </w:rPr>
        <w:t xml:space="preserve">What survives unchanged</w:t>
      </w:r>
    </w:p>
    <w:p>
      <w:pPr>
        <w:spacing w:after="160" w:before="0" w:line="276"/>
        <w:jc w:val="both"/>
      </w:pPr>
      <w:r>
        <w:rPr>
          <w:sz w:val="20"/>
          <w:szCs w:val="20"/>
        </w:rPr>
        <w:t xml:space="preserve">The central diagnosis holds and is, if anything, understated by R2: the campaign is short of converged 300 K populations by one to two and a half orders of magnitude in folding events, the cause is a calibration defect that left the boost at 3.5 k_BT, and the ff14SB/TIP3P indictment was correctly withdrawn because a ~4 kcal/mol native free energy measured from ~1 folding event is not evidence about a potential. The demultiplexing, the frame↔step map, the CV degeneracy measurements (3.65 % sufficiency, 56.6 % necessity failure) and the CV ranking are all reproducible from the shipped scripts and were checked against source here.</w:t>
      </w:r>
    </w:p>
    <w:p>
      <w:pPr>
        <w:pStyle w:val="Heading1"/>
        <w:keepNext/>
        <w:spacing w:after="120" w:before="320"/>
      </w:pPr>
      <w:r>
        <w:rPr>
          <w:b/>
          <w:bCs/>
          <w:color w:val="1F4E79"/>
          <w:sz w:val="26"/>
          <w:szCs w:val="26"/>
        </w:rPr>
        <w:t xml:space="preserve">R7. CRITICAL (found by the board, confirmed here) — the fold evidence is concentrated in the wrong-ensemble segments</w:t>
      </w:r>
    </w:p>
    <w:p>
      <w:pPr>
        <w:spacing w:after="160" w:before="0" w:line="276"/>
        <w:jc w:val="both"/>
      </w:pPr>
      <w:r>
        <w:rPr>
          <w:sz w:val="20"/>
          <w:szCs w:val="20"/>
        </w:rPr>
        <w:t xml:space="preserve">The board asked why the 33 Q ≥ 0.80 frames carry zero MBAR weight. Checked: </w:t>
      </w:r>
      <w:r>
        <w:rPr>
          <w:b/>
          <w:bCs/>
          <w:sz w:val="20"/>
          <w:szCs w:val="20"/>
        </w:rPr>
        <w:t xml:space="preserve">all 33 lie in </w:t>
      </w:r>
      <w:r>
        <w:rPr>
          <w:rFonts w:ascii="Consolas" w:cs="Consolas" w:eastAsia="Consolas" w:hAnsi="Consolas"/>
          <w:b/>
          <w:bCs/>
          <w:sz w:val="18"/>
          <w:szCs w:val="18"/>
        </w:rPr>
        <w:t xml:space="preserve">epoch_001/topup_002_3378000</w:t>
      </w:r>
      <w:r>
        <w:rPr>
          <w:sz w:val="20"/>
          <w:szCs w:val="20"/>
        </w:rPr>
        <w:t xml:space="preserve">, one of the three λ=0-only top-ups that ran fully boosted (D7). Their rows are dropped as wrong-ensemble, correctly. Quantified: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2419"/>
        <w:gridCol w:w="6451"/>
        <w:gridCol w:w="1210"/>
      </w:tblGrid>
      <w:tr>
        <w:trPr>
          <w:cantSplit/>
          <w:tblHeader/>
        </w:trPr>
        <w:tc>
          <w:tcPr>
            <w:tcW w:type="dxa" w:w="2419"/>
            <w:shd w:fill="EDF2F7" w:color="auto" w:val="clear"/>
            <w:tcMar>
              <w:top w:type="dxa" w:w="60"/>
              <w:left w:type="dxa" w:w="110"/>
              <w:bottom w:type="dxa" w:w="60"/>
              <w:right w:type="dxa" w:w="110"/>
            </w:tcMar>
          </w:tcPr>
          <w:p>
            <w:pPr>
              <w:spacing w:after="0" w:before="0"/>
            </w:pPr>
            <w:r>
              <w:rPr>
                <w:b/>
                <w:bCs/>
                <w:color w:val="1F4E79"/>
                <w:sz w:val="18"/>
                <w:szCs w:val="18"/>
              </w:rPr>
              <w:t xml:space="preserve">population</w:t>
            </w:r>
          </w:p>
        </w:tc>
        <w:tc>
          <w:tcPr>
            <w:tcW w:type="dxa" w:w="6451"/>
            <w:shd w:fill="EDF2F7" w:color="auto" w:val="clear"/>
            <w:tcMar>
              <w:top w:type="dxa" w:w="60"/>
              <w:left w:type="dxa" w:w="110"/>
              <w:bottom w:type="dxa" w:w="60"/>
              <w:right w:type="dxa" w:w="110"/>
            </w:tcMar>
          </w:tcPr>
          <w:p>
            <w:pPr>
              <w:spacing w:after="0" w:before="0"/>
            </w:pPr>
            <w:r>
              <w:rPr>
                <w:b/>
                <w:bCs/>
                <w:color w:val="1F4E79"/>
                <w:sz w:val="18"/>
                <w:szCs w:val="18"/>
              </w:rPr>
              <w:t xml:space="preserve">in the 3 wrong-ensemble segments</w:t>
            </w:r>
          </w:p>
        </w:tc>
        <w:tc>
          <w:tcPr>
            <w:tcW w:type="dxa" w:w="1210"/>
            <w:shd w:fill="EDF2F7" w:color="auto" w:val="clear"/>
            <w:tcMar>
              <w:top w:type="dxa" w:w="60"/>
              <w:left w:type="dxa" w:w="110"/>
              <w:bottom w:type="dxa" w:w="60"/>
              <w:right w:type="dxa" w:w="110"/>
            </w:tcMar>
          </w:tcPr>
          <w:p>
            <w:pPr>
              <w:spacing w:after="0" w:before="0"/>
            </w:pPr>
            <w:r>
              <w:rPr>
                <w:b/>
                <w:bCs/>
                <w:color w:val="1F4E79"/>
                <w:sz w:val="18"/>
                <w:szCs w:val="18"/>
              </w:rPr>
              <w:t xml:space="preserve">share</w:t>
            </w:r>
          </w:p>
        </w:tc>
      </w:tr>
      <w:tr>
        <w:trPr>
          <w:cantSplit/>
        </w:trPr>
        <w:tc>
          <w:tcPr>
            <w:tcW w:type="dxa" w:w="2419"/>
            <w:tcMar>
              <w:top w:type="dxa" w:w="60"/>
              <w:left w:type="dxa" w:w="110"/>
              <w:bottom w:type="dxa" w:w="60"/>
              <w:right w:type="dxa" w:w="110"/>
            </w:tcMar>
          </w:tcPr>
          <w:p>
            <w:pPr>
              <w:spacing w:after="0" w:before="0"/>
            </w:pPr>
            <w:r>
              <w:rPr>
                <w:sz w:val="18"/>
                <w:szCs w:val="18"/>
              </w:rPr>
              <w:t xml:space="preserve">all frames</w:t>
            </w:r>
          </w:p>
        </w:tc>
        <w:tc>
          <w:tcPr>
            <w:tcW w:type="dxa" w:w="6451"/>
            <w:tcMar>
              <w:top w:type="dxa" w:w="60"/>
              <w:left w:type="dxa" w:w="110"/>
              <w:bottom w:type="dxa" w:w="60"/>
              <w:right w:type="dxa" w:w="110"/>
            </w:tcMar>
          </w:tcPr>
          <w:p>
            <w:pPr>
              <w:spacing w:after="0" w:before="0"/>
            </w:pPr>
            <w:r>
              <w:rPr>
                <w:sz w:val="18"/>
                <w:szCs w:val="18"/>
              </w:rPr>
              <w:t xml:space="preserve">99,264 / 611,536</w:t>
            </w:r>
          </w:p>
        </w:tc>
        <w:tc>
          <w:tcPr>
            <w:tcW w:type="dxa" w:w="1210"/>
            <w:tcMar>
              <w:top w:type="dxa" w:w="60"/>
              <w:left w:type="dxa" w:w="110"/>
              <w:bottom w:type="dxa" w:w="60"/>
              <w:right w:type="dxa" w:w="110"/>
            </w:tcMar>
          </w:tcPr>
          <w:p>
            <w:pPr>
              <w:spacing w:after="0" w:before="0"/>
            </w:pPr>
            <w:r>
              <w:rPr>
                <w:sz w:val="18"/>
                <w:szCs w:val="18"/>
              </w:rPr>
              <w:t xml:space="preserve">16.2 %</w:t>
            </w:r>
          </w:p>
        </w:tc>
      </w:tr>
      <w:tr>
        <w:trPr>
          <w:cantSplit/>
        </w:trPr>
        <w:tc>
          <w:tcPr>
            <w:tcW w:type="dxa" w:w="2419"/>
            <w:tcMar>
              <w:top w:type="dxa" w:w="60"/>
              <w:left w:type="dxa" w:w="110"/>
              <w:bottom w:type="dxa" w:w="60"/>
              <w:right w:type="dxa" w:w="110"/>
            </w:tcMar>
          </w:tcPr>
          <w:p>
            <w:pPr>
              <w:spacing w:after="0" w:before="0"/>
            </w:pPr>
            <w:r>
              <w:rPr>
                <w:sz w:val="18"/>
                <w:szCs w:val="18"/>
              </w:rPr>
              <w:t xml:space="preserve">RMSD ≤ 1.5 Å</w:t>
            </w:r>
          </w:p>
        </w:tc>
        <w:tc>
          <w:tcPr>
            <w:tcW w:type="dxa" w:w="6451"/>
            <w:tcMar>
              <w:top w:type="dxa" w:w="60"/>
              <w:left w:type="dxa" w:w="110"/>
              <w:bottom w:type="dxa" w:w="60"/>
              <w:right w:type="dxa" w:w="110"/>
            </w:tcMar>
          </w:tcPr>
          <w:p>
            <w:pPr>
              <w:spacing w:after="0" w:before="0"/>
            </w:pPr>
            <w:r>
              <w:rPr>
                <w:sz w:val="18"/>
                <w:szCs w:val="18"/>
              </w:rPr>
              <w:t xml:space="preserve">1,645 / 4,929</w:t>
            </w:r>
          </w:p>
        </w:tc>
        <w:tc>
          <w:tcPr>
            <w:tcW w:type="dxa" w:w="1210"/>
            <w:tcMar>
              <w:top w:type="dxa" w:w="60"/>
              <w:left w:type="dxa" w:w="110"/>
              <w:bottom w:type="dxa" w:w="60"/>
              <w:right w:type="dxa" w:w="110"/>
            </w:tcMar>
          </w:tcPr>
          <w:p>
            <w:pPr>
              <w:spacing w:after="0" w:before="0"/>
            </w:pPr>
            <w:r>
              <w:rPr>
                <w:sz w:val="18"/>
                <w:szCs w:val="18"/>
              </w:rPr>
              <w:t xml:space="preserve">33.4 %</w:t>
            </w:r>
          </w:p>
        </w:tc>
      </w:tr>
      <w:tr>
        <w:trPr>
          <w:cantSplit/>
        </w:trPr>
        <w:tc>
          <w:tcPr>
            <w:tcW w:type="dxa" w:w="2419"/>
            <w:tcMar>
              <w:top w:type="dxa" w:w="60"/>
              <w:left w:type="dxa" w:w="110"/>
              <w:bottom w:type="dxa" w:w="60"/>
              <w:right w:type="dxa" w:w="110"/>
            </w:tcMar>
          </w:tcPr>
          <w:p>
            <w:pPr>
              <w:spacing w:after="0" w:before="0"/>
            </w:pPr>
            <w:r>
              <w:rPr>
                <w:sz w:val="18"/>
                <w:szCs w:val="18"/>
              </w:rPr>
              <w:t xml:space="preserve">RMSD ≤ 1.0 Å</w:t>
            </w:r>
          </w:p>
        </w:tc>
        <w:tc>
          <w:tcPr>
            <w:tcW w:type="dxa" w:w="6451"/>
            <w:tcMar>
              <w:top w:type="dxa" w:w="60"/>
              <w:left w:type="dxa" w:w="110"/>
              <w:bottom w:type="dxa" w:w="60"/>
              <w:right w:type="dxa" w:w="110"/>
            </w:tcMar>
          </w:tcPr>
          <w:p>
            <w:pPr>
              <w:spacing w:after="0" w:before="0"/>
            </w:pPr>
            <w:r>
              <w:rPr>
                <w:sz w:val="18"/>
                <w:szCs w:val="18"/>
              </w:rPr>
              <w:t xml:space="preserve">415 / 481</w:t>
            </w:r>
          </w:p>
        </w:tc>
        <w:tc>
          <w:tcPr>
            <w:tcW w:type="dxa" w:w="1210"/>
            <w:tcMar>
              <w:top w:type="dxa" w:w="60"/>
              <w:left w:type="dxa" w:w="110"/>
              <w:bottom w:type="dxa" w:w="60"/>
              <w:right w:type="dxa" w:w="110"/>
            </w:tcMar>
          </w:tcPr>
          <w:p>
            <w:pPr>
              <w:spacing w:after="0" w:before="0"/>
            </w:pPr>
            <w:r>
              <w:rPr>
                <w:b/>
                <w:bCs/>
                <w:sz w:val="18"/>
                <w:szCs w:val="18"/>
              </w:rPr>
              <w:t xml:space="preserve">86.3 %</w:t>
            </w:r>
          </w:p>
        </w:tc>
      </w:tr>
      <w:tr>
        <w:trPr>
          <w:cantSplit/>
        </w:trPr>
        <w:tc>
          <w:tcPr>
            <w:tcW w:type="dxa" w:w="2419"/>
            <w:tcMar>
              <w:top w:type="dxa" w:w="60"/>
              <w:left w:type="dxa" w:w="110"/>
              <w:bottom w:type="dxa" w:w="60"/>
              <w:right w:type="dxa" w:w="110"/>
            </w:tcMar>
          </w:tcPr>
          <w:p>
            <w:pPr>
              <w:spacing w:after="0" w:before="0"/>
            </w:pPr>
            <w:r>
              <w:rPr>
                <w:sz w:val="18"/>
                <w:szCs w:val="18"/>
              </w:rPr>
              <w:t xml:space="preserve">Q ≥ 0.80</w:t>
            </w:r>
          </w:p>
        </w:tc>
        <w:tc>
          <w:tcPr>
            <w:tcW w:type="dxa" w:w="6451"/>
            <w:tcMar>
              <w:top w:type="dxa" w:w="60"/>
              <w:left w:type="dxa" w:w="110"/>
              <w:bottom w:type="dxa" w:w="60"/>
              <w:right w:type="dxa" w:w="110"/>
            </w:tcMar>
          </w:tcPr>
          <w:p>
            <w:pPr>
              <w:spacing w:after="0" w:before="0"/>
            </w:pPr>
            <w:r>
              <w:rPr>
                <w:sz w:val="18"/>
                <w:szCs w:val="18"/>
              </w:rPr>
              <w:t xml:space="preserve">33 / 33</w:t>
            </w:r>
          </w:p>
        </w:tc>
        <w:tc>
          <w:tcPr>
            <w:tcW w:type="dxa" w:w="1210"/>
            <w:tcMar>
              <w:top w:type="dxa" w:w="60"/>
              <w:left w:type="dxa" w:w="110"/>
              <w:bottom w:type="dxa" w:w="60"/>
              <w:right w:type="dxa" w:w="110"/>
            </w:tcMar>
          </w:tcPr>
          <w:p>
            <w:pPr>
              <w:spacing w:after="0" w:before="0"/>
            </w:pPr>
            <w:r>
              <w:rPr>
                <w:b/>
                <w:bCs/>
                <w:sz w:val="18"/>
                <w:szCs w:val="18"/>
              </w:rPr>
              <w:t xml:space="preserve">100 %</w:t>
            </w:r>
          </w:p>
        </w:tc>
      </w:tr>
    </w:tbl>
    <w:p>
      <w:pPr>
        <w:spacing w:after="200" w:before="0"/>
      </w:pPr>
      <w:r>
        <w:t xml:space="preserve"/>
      </w:r>
    </w:p>
    <w:p>
      <w:pPr>
        <w:spacing w:after="160" w:before="0" w:line="276"/>
        <w:jc w:val="both"/>
      </w:pPr>
      <w:r>
        <w:rPr>
          <w:sz w:val="20"/>
          <w:szCs w:val="20"/>
        </w:rPr>
        <w:t xml:space="preserve">The correctly-configured 83.8 % of the campaign produced 66 frames ≤ 1.0 Å and </w:t>
      </w:r>
      <w:r>
        <w:rPr>
          <w:b/>
          <w:bCs/>
          <w:sz w:val="20"/>
          <w:szCs w:val="20"/>
        </w:rPr>
        <w:t xml:space="preserve">zero</w:t>
      </w:r>
      <w:r>
        <w:rPr>
          <w:sz w:val="20"/>
          <w:szCs w:val="20"/>
        </w:rPr>
        <w:t xml:space="preserve"> at Q ≥ 0.80. The handoff's structural claim survives (real ff14SB configurations under a boost) but must carry this caveat. It also cuts the other way: those segments had a real boost where genuine λ=0 had exactly 0.000, and that is where the folding happened — an accidental controlled experiment supporting the chignolin_8 bet.</w:t>
      </w:r>
    </w:p>
    <w:p>
      <w:pPr>
        <w:pStyle w:val="Heading1"/>
        <w:keepNext/>
        <w:spacing w:after="120" w:before="320"/>
      </w:pPr>
      <w:r>
        <w:rPr>
          <w:b/>
          <w:bCs/>
          <w:color w:val="1F4E79"/>
          <w:sz w:val="26"/>
          <w:szCs w:val="26"/>
        </w:rPr>
        <w:t xml:space="preserve">R8. HIGH (board) — the boost argument was formally wrong, not merely loose</w:t>
      </w:r>
    </w:p>
    <w:p>
      <w:pPr>
        <w:spacing w:after="160" w:before="0" w:line="276"/>
        <w:jc w:val="both"/>
      </w:pPr>
      <w:r>
        <w:rPr>
          <w:sz w:val="20"/>
          <w:szCs w:val="20"/>
        </w:rPr>
        <w:t xml:space="preserve">Sharper than R3: exp(β⟨ΔV⟩) is by </w:t>
      </w:r>
      <w:r>
        <w:rPr>
          <w:b/>
          <w:bCs/>
          <w:sz w:val="20"/>
          <w:szCs w:val="20"/>
        </w:rPr>
        <w:t xml:space="preserve">Jensen</w:t>
      </w:r>
      <w:r>
        <w:rPr>
          <w:sz w:val="20"/>
          <w:szCs w:val="20"/>
        </w:rPr>
        <w:t xml:space="preserve"> a </w:t>
      </w:r>
      <w:r>
        <w:rPr>
          <w:i/>
          <w:iCs/>
          <w:sz w:val="20"/>
          <w:szCs w:val="20"/>
        </w:rPr>
        <w:t xml:space="preserve">lower</w:t>
      </w:r>
      <w:r>
        <w:rPr>
          <w:sz w:val="20"/>
          <w:szCs w:val="20"/>
        </w:rPr>
        <w:t xml:space="preserve"> bound on ⟨exp(βΔV)⟩, so calling it an upper bound inverts the inequality. And the decisive structural point is that E = V_max was frozen from 35 ps of basin fluctuation, so the transition state very likely sits </w:t>
      </w:r>
      <w:r>
        <w:rPr>
          <w:i/>
          <w:iCs/>
          <w:sz w:val="20"/>
          <w:szCs w:val="20"/>
        </w:rPr>
        <w:t xml:space="preserve">above</w:t>
      </w:r>
      <w:r>
        <w:rPr>
          <w:sz w:val="20"/>
          <w:szCs w:val="20"/>
        </w:rPr>
        <w:t xml:space="preserve"> E, giving </w:t>
      </w:r>
      <w:r>
        <w:rPr>
          <w:b/>
          <w:bCs/>
          <w:sz w:val="20"/>
          <w:szCs w:val="20"/>
        </w:rPr>
        <w:t xml:space="preserve">ΔV(TS) ≈ 0 and barrier enhancement ≈ 1×</w:t>
      </w:r>
      <w:r>
        <w:rPr>
          <w:sz w:val="20"/>
          <w:szCs w:val="20"/>
        </w:rPr>
        <w:t xml:space="preserve">.</w:t>
      </w:r>
    </w:p>
    <w:p>
      <w:pPr>
        <w:pStyle w:val="Heading1"/>
        <w:keepNext/>
        <w:spacing w:after="120" w:before="320"/>
      </w:pPr>
      <w:r>
        <w:rPr>
          <w:b/>
          <w:bCs/>
          <w:color w:val="1F4E79"/>
          <w:sz w:val="26"/>
          <w:szCs w:val="26"/>
        </w:rPr>
        <w:t xml:space="preserve">R9. MEDIUM (board) — the report was not self-standing</w:t>
      </w:r>
    </w:p>
    <w:p>
      <w:pPr>
        <w:spacing w:after="160" w:before="0" w:line="276"/>
        <w:jc w:val="both"/>
      </w:pPr>
      <w:r>
        <w:rPr>
          <w:sz w:val="20"/>
          <w:szCs w:val="20"/>
        </w:rPr>
        <w:t xml:space="preserve">Missing and now added: commit hash (</w:t>
      </w:r>
      <w:r>
        <w:rPr>
          <w:rFonts w:ascii="Consolas" w:cs="Consolas" w:eastAsia="Consolas" w:hAnsi="Consolas"/>
          <w:sz w:val="18"/>
          <w:szCs w:val="18"/>
        </w:rPr>
        <w:t xml:space="preserve">24acc31</w:t>
      </w:r>
      <w:r>
        <w:rPr>
          <w:sz w:val="20"/>
          <w:szCs w:val="20"/>
        </w:rPr>
        <w:t xml:space="preserve">, v0.8.1, 4 files dirty, unpushed), conda environment, launch and resume commands, a D8 workaround (scipy ≥ 1.13 removed </w:t>
      </w:r>
      <w:r>
        <w:rPr>
          <w:rFonts w:ascii="Consolas" w:cs="Consolas" w:eastAsia="Consolas" w:hAnsi="Consolas"/>
          <w:sz w:val="18"/>
          <w:szCs w:val="18"/>
        </w:rPr>
        <w:t xml:space="preserve">scipy.linalg.tril</w:t>
      </w:r>
      <w:r>
        <w:rPr>
          <w:sz w:val="20"/>
          <w:szCs w:val="20"/>
        </w:rPr>
        <w:t xml:space="preserve">), the target force field named explicitly, and the §10 first action written as a runnable procedure against named files. Also: the memories cited in §13 are </w:t>
      </w:r>
      <w:r>
        <w:rPr>
          <w:b/>
          <w:bCs/>
          <w:sz w:val="20"/>
          <w:szCs w:val="20"/>
        </w:rPr>
        <w:t xml:space="preserve">not readable</w:t>
      </w:r>
      <w:r>
        <w:rPr>
          <w:sz w:val="20"/>
          <w:szCs w:val="20"/>
        </w:rPr>
        <w:t xml:space="preserve"> by the receiving agents — all load-bearing content is now inlined.</w:t>
      </w:r>
    </w:p>
    <w:p>
      <w:pPr>
        <w:pStyle w:val="Heading1"/>
        <w:keepNext/>
        <w:spacing w:after="120" w:before="320"/>
      </w:pPr>
      <w:r>
        <w:rPr>
          <w:b/>
          <w:bCs/>
          <w:color w:val="1F4E79"/>
          <w:sz w:val="26"/>
          <w:szCs w:val="26"/>
        </w:rPr>
        <w:t xml:space="preserve">R10. LOW (board, thinker dissent) — the d1/d2 CI "red flag" is a rounding artifact</w:t>
      </w:r>
    </w:p>
    <w:p>
      <w:pPr>
        <w:spacing w:after="160" w:before="0" w:line="276"/>
        <w:jc w:val="both"/>
      </w:pPr>
      <w:r>
        <w:rPr>
          <w:sz w:val="20"/>
          <w:szCs w:val="20"/>
        </w:rPr>
        <w:t xml:space="preserve">d1 point 7.206 vs CI lower 7.21, d2 8.377 vs 8.38 — differences of 0.004 and 0.003, i.e. two-decimal rounding. Not a degenerate resample. The genuine concern there is D4 forward-fill inflating effective sample size, which the handoff already states.</w:t>
      </w:r>
    </w:p>
    <w:p>
      <w:pPr>
        <w:pStyle w:val="Heading1"/>
        <w:keepNext/>
        <w:spacing w:after="120" w:before="320"/>
      </w:pPr>
      <w:r>
        <w:rPr>
          <w:b/>
          <w:bCs/>
          <w:color w:val="1F4E79"/>
          <w:sz w:val="26"/>
          <w:szCs w:val="26"/>
        </w:rPr>
        <w:t xml:space="preserve">Required changes</w:t>
      </w:r>
    </w:p>
    <w:p>
      <w:pPr>
        <w:pStyle w:val="ListParagraph"/>
        <w:numPr>
          <w:ilvl w:val="0"/>
          <w:numId w:val="3"/>
        </w:numPr>
        <w:spacing w:after="120" w:before="80"/>
      </w:pPr>
      <w:r>
        <w:rPr>
          <w:sz w:val="20"/>
          <w:szCs w:val="20"/>
        </w:rPr>
        <w:t xml:space="preserve">Replace "Ab initio — no native input" for GENPEPT with an accurate statement of the fold-class prior, and add the </w:t>
      </w:r>
      <w:r>
        <w:rPr>
          <w:rFonts w:ascii="Consolas" w:cs="Consolas" w:eastAsia="Consolas" w:hAnsi="Consolas"/>
          <w:sz w:val="18"/>
          <w:szCs w:val="18"/>
        </w:rPr>
        <w:t xml:space="preserve">broad</w:t>
      </w:r>
      <w:r>
        <w:rPr>
          <w:sz w:val="20"/>
          <w:szCs w:val="20"/>
        </w:rPr>
        <w:t xml:space="preserve"> vs </w:t>
      </w:r>
      <w:r>
        <w:rPr>
          <w:rFonts w:ascii="Consolas" w:cs="Consolas" w:eastAsia="Consolas" w:hAnsi="Consolas"/>
          <w:sz w:val="18"/>
          <w:szCs w:val="18"/>
        </w:rPr>
        <w:t xml:space="preserve">chignolin</w:t>
      </w:r>
      <w:r>
        <w:rPr>
          <w:sz w:val="20"/>
          <w:szCs w:val="20"/>
        </w:rPr>
        <w:t xml:space="preserve"> preset split to §10's mode separation. </w:t>
      </w:r>
      <w:r>
        <w:rPr>
          <w:b/>
          <w:bCs/>
          <w:sz w:val="20"/>
          <w:szCs w:val="20"/>
        </w:rPr>
        <w:t xml:space="preserve">(R1)</w:t>
      </w:r>
    </w:p>
    <w:p>
      <w:pPr>
        <w:pStyle w:val="ListParagraph"/>
        <w:numPr>
          <w:ilvl w:val="0"/>
          <w:numId w:val="3"/>
        </w:numPr>
        <w:spacing w:after="120" w:before="80"/>
      </w:pPr>
      <w:r>
        <w:rPr>
          <w:sz w:val="20"/>
          <w:szCs w:val="20"/>
        </w:rPr>
        <w:t xml:space="preserve">Quote the folding-event shortfall as </w:t>
      </w:r>
      <w:r>
        <w:rPr>
          <w:b/>
          <w:bCs/>
          <w:sz w:val="20"/>
          <w:szCs w:val="20"/>
        </w:rPr>
        <w:t xml:space="preserve">34–851 µs</w:t>
      </w:r>
      <w:r>
        <w:rPr>
          <w:sz w:val="20"/>
          <w:szCs w:val="20"/>
        </w:rPr>
        <w:t xml:space="preserve">, and make the rate range consistent with the table it follows. </w:t>
      </w:r>
      <w:r>
        <w:rPr>
          <w:b/>
          <w:bCs/>
          <w:sz w:val="20"/>
          <w:szCs w:val="20"/>
        </w:rPr>
        <w:t xml:space="preserve">(R2)</w:t>
      </w:r>
    </w:p>
    <w:p>
      <w:pPr>
        <w:pStyle w:val="ListParagraph"/>
        <w:numPr>
          <w:ilvl w:val="0"/>
          <w:numId w:val="3"/>
        </w:numPr>
        <w:spacing w:after="120" w:before="80"/>
      </w:pPr>
      <w:r>
        <w:rPr>
          <w:sz w:val="20"/>
          <w:szCs w:val="20"/>
        </w:rPr>
        <w:t xml:space="preserve">Correct the GaMD mechanism sentence; drop "upper bound". </w:t>
      </w:r>
      <w:r>
        <w:rPr>
          <w:b/>
          <w:bCs/>
          <w:sz w:val="20"/>
          <w:szCs w:val="20"/>
        </w:rPr>
        <w:t xml:space="preserve">(R3)</w:t>
      </w:r>
    </w:p>
    <w:p>
      <w:pPr>
        <w:pStyle w:val="ListParagraph"/>
        <w:numPr>
          <w:ilvl w:val="0"/>
          <w:numId w:val="3"/>
        </w:numPr>
        <w:spacing w:after="120" w:before="80"/>
      </w:pPr>
      <w:r>
        <w:rPr>
          <w:sz w:val="20"/>
          <w:szCs w:val="20"/>
        </w:rPr>
        <w:t xml:space="preserve">Scope the ladder conclusion to sampling, not free-energy precision. </w:t>
      </w:r>
      <w:r>
        <w:rPr>
          <w:b/>
          <w:bCs/>
          <w:sz w:val="20"/>
          <w:szCs w:val="20"/>
        </w:rPr>
        <w:t xml:space="preserve">(R4)</w:t>
      </w:r>
    </w:p>
    <w:p>
      <w:pPr>
        <w:pStyle w:val="ListParagraph"/>
        <w:numPr>
          <w:ilvl w:val="0"/>
          <w:numId w:val="3"/>
        </w:numPr>
        <w:spacing w:after="120" w:before="80"/>
      </w:pPr>
      <w:r>
        <w:rPr>
          <w:sz w:val="20"/>
          <w:szCs w:val="20"/>
        </w:rPr>
        <w:t xml:space="preserve">State plainly in §10 that ab initio CV2 selection is unsolved for this system, before proposing the scorer split. </w:t>
      </w:r>
      <w:r>
        <w:rPr>
          <w:b/>
          <w:bCs/>
          <w:sz w:val="20"/>
          <w:szCs w:val="20"/>
        </w:rPr>
        <w:t xml:space="preserve">(R5)</w:t>
      </w:r>
    </w:p>
    <w:p>
      <w:pPr>
        <w:pStyle w:val="ListParagraph"/>
        <w:numPr>
          <w:ilvl w:val="0"/>
          <w:numId w:val="3"/>
        </w:numPr>
        <w:spacing w:after="120" w:before="80"/>
      </w:pPr>
      <w:r>
        <w:rPr>
          <w:sz w:val="20"/>
          <w:szCs w:val="20"/>
        </w:rPr>
        <w:t xml:space="preserve">Add a provenance caveat: one campaign, one peptide, one force field. </w:t>
      </w:r>
      <w:r>
        <w:rPr>
          <w:b/>
          <w:bCs/>
          <w:sz w:val="20"/>
          <w:szCs w:val="20"/>
        </w:rPr>
        <w:t xml:space="preserve">(R6)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Chignolin native fold audit - ATLAS-MD v0.7 chignolin_7</dc:title>
  <dc:creator>Josef Sulc</dc:creator>
  <dc:description>Audit of whether the chignolin native fold was sampled and whether the thermodynamic minima correspond to it</dc:description>
  <cp:lastModifiedBy>Un-named</cp:lastModifiedBy>
  <cp:revision>1</cp:revision>
  <dcterms:created xsi:type="dcterms:W3CDTF">2026-09-19T20:09:50.345Z</dcterms:created>
  <dcterms:modified xsi:type="dcterms:W3CDTF">2026-09-19T20:09:50.345Z</dcterms:modified>
</cp:coreProperties>
</file>

<file path=docProps/custom.xml><?xml version="1.0" encoding="utf-8"?>
<Properties xmlns="http://schemas.openxmlformats.org/officeDocument/2006/custom-properties" xmlns:vt="http://schemas.openxmlformats.org/officeDocument/2006/docPropsVTypes"/>
</file>