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3.png" ContentType="image/png"/>
  <Override PartName="/word/media/rId36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1.png" ContentType="image/png"/>
  <Override PartName="/word/media/rId70.png" ContentType="image/png"/>
  <Override PartName="/word/media/rId73.png" ContentType="image/png"/>
  <Override PartName="/word/media/rId77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9e2852df1a8e425beed67d43a8203242f5f9bfc"/>
    <w:p>
      <w:pPr>
        <w:pStyle w:val="Heading1"/>
      </w:pPr>
      <w:r>
        <w:t xml:space="preserve">Battery Sizing: Mechanistic vs. Neural Network Comparison (V2)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documents the second iteration (</w:t>
      </w:r>
      <w:r>
        <w:t xml:space="preserve">“</w:t>
      </w:r>
      <w:r>
        <w:t xml:space="preserve">V2</w:t>
      </w:r>
      <w:r>
        <w:t xml:space="preserve">”</w:t>
      </w:r>
      <w:r>
        <w:t xml:space="preserve">) of a bachelor thesis</w:t>
      </w:r>
      <w:r>
        <w:t xml:space="preserve"> </w:t>
      </w:r>
      <w:r>
        <w:t xml:space="preserve">project comparing a mechanistic (physics-based) battery-sizing method</w:t>
      </w:r>
      <w:r>
        <w:t xml:space="preserve"> </w:t>
      </w:r>
      <w:r>
        <w:t xml:space="preserve">against a neural-network method for a hybrid PV + wind + battery power</w:t>
      </w:r>
      <w:r>
        <w:t xml:space="preserve"> </w:t>
      </w:r>
      <w:r>
        <w:t xml:space="preserve">system. V2 is a from-scratch rebuild of the mechanistic pipeline against a</w:t>
      </w:r>
      <w:r>
        <w:t xml:space="preserve"> </w:t>
      </w:r>
      <w:r>
        <w:t xml:space="preserve">specific course lecture’s exact equations (Campana,</w:t>
      </w:r>
      <w:r>
        <w:t xml:space="preserve"> </w:t>
      </w:r>
      <w:r>
        <w:rPr>
          <w:iCs/>
          <w:i/>
        </w:rPr>
        <w:t xml:space="preserve">Deploying LLMs for</w:t>
      </w:r>
      <w:r>
        <w:rPr>
          <w:iCs/>
          <w:i/>
        </w:rPr>
        <w:t xml:space="preserve"> </w:t>
      </w:r>
      <w:r>
        <w:rPr>
          <w:iCs/>
          <w:i/>
        </w:rPr>
        <w:t xml:space="preserve">the Management of Microgrids</w:t>
      </w:r>
      <w:r>
        <w:t xml:space="preserve">, OptiCE slide deck), a narrower and stricter</w:t>
      </w:r>
      <w:r>
        <w:t xml:space="preserve"> </w:t>
      </w:r>
      <w:r>
        <w:t xml:space="preserve">comparison scope (mechanistic vs. neural network only — no other machine-</w:t>
      </w:r>
      <w:r>
        <w:t xml:space="preserve"> </w:t>
      </w:r>
      <w:r>
        <w:t xml:space="preserve">learning baselines), and a return to an</w:t>
      </w:r>
      <w:r>
        <w:t xml:space="preserve"> </w:t>
      </w:r>
      <w:r>
        <w:rPr>
          <w:bCs/>
          <w:b/>
        </w:rPr>
        <w:t xml:space="preserve">off-grid</w:t>
      </w:r>
      <w:r>
        <w:t xml:space="preserve"> </w:t>
      </w:r>
      <w:r>
        <w:t xml:space="preserve">system configuration</w:t>
      </w:r>
      <w:r>
        <w:t xml:space="preserve"> </w:t>
      </w:r>
      <w:r>
        <w:t xml:space="preserve">(a hard reliability constraint, no diesel backup), reversing V1’s later</w:t>
      </w:r>
      <w:r>
        <w:t xml:space="preserve"> </w:t>
      </w:r>
      <w:r>
        <w:t xml:space="preserve">diesel-backed pivot. Section 9 details exactly why, and what the</w:t>
      </w:r>
      <w:r>
        <w:t xml:space="preserve"> </w:t>
      </w:r>
      <w:r>
        <w:t xml:space="preserve">consequence was for the scenario dataset.</w:t>
      </w:r>
    </w:p>
    <w:p>
      <w:pPr>
        <w:pStyle w:val="BodyText"/>
      </w:pPr>
      <w:r>
        <w:t xml:space="preserve">Everything in this report is generated from real, executed code against</w:t>
      </w:r>
      <w:r>
        <w:t xml:space="preserve"> </w:t>
      </w:r>
      <w:r>
        <w:t xml:space="preserve">this project’s actual data — no numbers are invented or extrapolated. The</w:t>
      </w:r>
      <w:r>
        <w:t xml:space="preserve"> </w:t>
      </w:r>
      <w:r>
        <w:t xml:space="preserve">V1 build (documented separately,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at the repository root)</w:t>
      </w:r>
      <w:r>
        <w:t xml:space="preserve"> </w:t>
      </w:r>
      <w:r>
        <w:t xml:space="preserve">remains the historical record of the diesel-backed, four-model comparison;</w:t>
      </w:r>
      <w:r>
        <w:t xml:space="preserve"> </w:t>
      </w:r>
      <w:r>
        <w:t xml:space="preserve">this report supersedes it only in scope (off-grid, NN-only), not in</w:t>
      </w:r>
      <w:r>
        <w:t xml:space="preserve"> </w:t>
      </w:r>
      <w:r>
        <w:t xml:space="preserve">validity — V1’s results still describe V1’s own configuration correctly.</w:t>
      </w:r>
    </w:p>
    <w:p>
      <w:pPr>
        <w:pStyle w:val="BodyText"/>
      </w:pPr>
      <w:r>
        <w:t xml:space="preserve">Section 19 adds a follow-on demonstration: switching the diesel backup</w:t>
      </w:r>
      <w:r>
        <w:t xml:space="preserve"> </w:t>
      </w:r>
      <w:r>
        <w:t xml:space="preserve">back on and raising the load, to show the diesel engaging and to trace the</w:t>
      </w:r>
      <w:r>
        <w:t xml:space="preserve"> </w:t>
      </w:r>
      <w:r>
        <w:t xml:space="preserve">renewable-share-vs-system-LCOE trade-off curve. It is mechanistic-only and</w:t>
      </w:r>
      <w:r>
        <w:t xml:space="preserve"> </w:t>
      </w:r>
      <w:r>
        <w:t xml:space="preserve">does not alter or retract §1–§18’s off-grid results.</w:t>
      </w:r>
    </w:p>
    <w:bookmarkEnd w:id="20"/>
    <w:bookmarkStart w:id="21" w:name="relationship-to-v1"/>
    <w:p>
      <w:pPr>
        <w:pStyle w:val="Heading2"/>
      </w:pPr>
      <w:r>
        <w:t xml:space="preserve">2. Relationship to V1</w:t>
      </w:r>
    </w:p>
    <w:p>
      <w:pPr>
        <w:pStyle w:val="FirstParagraph"/>
      </w:pPr>
      <w:r>
        <w:t xml:space="preserve">V1 completed a full mechanistic-vs-four-ML-model comparison under a</w:t>
      </w:r>
      <w:r>
        <w:t xml:space="preserve"> </w:t>
      </w:r>
      <w:r>
        <w:t xml:space="preserve">diesel-backed system (battery capacity chosen to minimize system LCOE,</w:t>
      </w:r>
      <w:r>
        <w:t xml:space="preserve"> </w:t>
      </w:r>
      <w:r>
        <w:t xml:space="preserve">reliability guaranteed near-universally by the diesel generator’s power</w:t>
      </w:r>
      <w:r>
        <w:t xml:space="preserve"> </w:t>
      </w:r>
      <w:r>
        <w:t xml:space="preserve">sizing). An independent engineering review of that build recommended</w:t>
      </w:r>
      <w:r>
        <w:t xml:space="preserve"> </w:t>
      </w:r>
      <w:r>
        <w:t xml:space="preserve">eleven concrete improvements; V2 implements all of them:</w:t>
      </w:r>
    </w:p>
    <w:p>
      <w:pPr>
        <w:numPr>
          <w:ilvl w:val="0"/>
          <w:numId w:val="1001"/>
        </w:numPr>
        <w:pStyle w:val="Compact"/>
      </w:pPr>
      <w:r>
        <w:t xml:space="preserve">Rewrite the mechanistic PV/wind/battery physics to strictly match the</w:t>
      </w:r>
      <w:r>
        <w:t xml:space="preserve"> </w:t>
      </w:r>
      <w:r>
        <w:t xml:space="preserve">course lecture’s exact equations, with hand-computed reference tests.</w:t>
      </w:r>
    </w:p>
    <w:p>
      <w:pPr>
        <w:numPr>
          <w:ilvl w:val="0"/>
          <w:numId w:val="1001"/>
        </w:numPr>
        <w:pStyle w:val="Compact"/>
      </w:pPr>
      <w:r>
        <w:t xml:space="preserve">Remove every ML baseline except the neural network.</w:t>
      </w:r>
    </w:p>
    <w:p>
      <w:pPr>
        <w:numPr>
          <w:ilvl w:val="0"/>
          <w:numId w:val="1001"/>
        </w:numPr>
        <w:pStyle w:val="Compact"/>
      </w:pPr>
      <w:r>
        <w:t xml:space="preserve">Resolve, with the thesis author, whether V2 studies a diesel-backed or</w:t>
      </w:r>
      <w:r>
        <w:t xml:space="preserve"> </w:t>
      </w:r>
      <w:r>
        <w:t xml:space="preserve">an off-grid system (a checkpoint requiring explicit sign-off — §15).</w:t>
      </w:r>
    </w:p>
    <w:p>
      <w:pPr>
        <w:numPr>
          <w:ilvl w:val="0"/>
          <w:numId w:val="1001"/>
        </w:numPr>
        <w:pStyle w:val="Compact"/>
      </w:pPr>
      <w:r>
        <w:t xml:space="preserve">Fix a load-profile-shape coherence gap between the baseline showcase</w:t>
      </w:r>
      <w:r>
        <w:t xml:space="preserve"> </w:t>
      </w:r>
      <w:r>
        <w:t xml:space="preserve">and the ML dataset.</w:t>
      </w:r>
    </w:p>
    <w:p>
      <w:pPr>
        <w:numPr>
          <w:ilvl w:val="0"/>
          <w:numId w:val="1001"/>
        </w:numPr>
        <w:pStyle w:val="Compact"/>
      </w:pPr>
      <w:r>
        <w:t xml:space="preserve">Add cross-validation error bars to the NN’s accuracy claim.</w:t>
      </w:r>
    </w:p>
    <w:p>
      <w:pPr>
        <w:numPr>
          <w:ilvl w:val="0"/>
          <w:numId w:val="1001"/>
        </w:numPr>
        <w:pStyle w:val="Compact"/>
      </w:pPr>
      <w:r>
        <w:t xml:space="preserve">Add a learning curve across training-set sizes.</w:t>
      </w:r>
    </w:p>
    <w:p>
      <w:pPr>
        <w:numPr>
          <w:ilvl w:val="0"/>
          <w:numId w:val="1001"/>
        </w:numPr>
        <w:pStyle w:val="Compact"/>
      </w:pPr>
      <w:r>
        <w:t xml:space="preserve">Add permutation feature importance.</w:t>
      </w:r>
    </w:p>
    <w:p>
      <w:pPr>
        <w:numPr>
          <w:ilvl w:val="0"/>
          <w:numId w:val="1001"/>
        </w:numPr>
        <w:pStyle w:val="Compact"/>
      </w:pPr>
      <w:r>
        <w:t xml:space="preserve">Add a cost-sensitivity analysis.</w:t>
      </w:r>
    </w:p>
    <w:p>
      <w:pPr>
        <w:numPr>
          <w:ilvl w:val="0"/>
          <w:numId w:val="1001"/>
        </w:numPr>
        <w:pStyle w:val="Compact"/>
      </w:pPr>
      <w:r>
        <w:t xml:space="preserve">Sharpen the computational-efficiency claim’s text.</w:t>
      </w:r>
    </w:p>
    <w:p>
      <w:pPr>
        <w:numPr>
          <w:ilvl w:val="0"/>
          <w:numId w:val="1001"/>
        </w:numPr>
        <w:pStyle w:val="Compact"/>
      </w:pPr>
      <w:r>
        <w:t xml:space="preserve">Trim the figure set to a lean, curated set.</w:t>
      </w:r>
    </w:p>
    <w:p>
      <w:pPr>
        <w:numPr>
          <w:ilvl w:val="0"/>
          <w:numId w:val="1001"/>
        </w:numPr>
        <w:pStyle w:val="Compact"/>
      </w:pPr>
      <w:r>
        <w:t xml:space="preserve">Regenerate every affected artifact and rewrite this report end-to-end.</w:t>
      </w:r>
    </w:p>
    <w:p>
      <w:pPr>
        <w:pStyle w:val="FirstParagraph"/>
      </w:pPr>
      <w:r>
        <w:t xml:space="preserve">Section numbers below map onto this list where relevant.</w:t>
      </w:r>
    </w:p>
    <w:bookmarkEnd w:id="21"/>
    <w:bookmarkStart w:id="22" w:name="research-objective-and-questions"/>
    <w:p>
      <w:pPr>
        <w:pStyle w:val="Heading2"/>
      </w:pPr>
      <w:r>
        <w:t xml:space="preserve">3. Research Objective and Questions</w:t>
      </w:r>
    </w:p>
    <w:p>
      <w:pPr>
        <w:pStyle w:val="FirstParagraph"/>
      </w:pPr>
      <w:r>
        <w:t xml:space="preserve">The objective is unchanged from V1: compare a mechanistic battery-sizing</w:t>
      </w:r>
      <w:r>
        <w:t xml:space="preserve"> </w:t>
      </w:r>
      <w:r>
        <w:t xml:space="preserve">method against a neural-network method, and investigate:</w:t>
      </w:r>
    </w:p>
    <w:p>
      <w:pPr>
        <w:numPr>
          <w:ilvl w:val="0"/>
          <w:numId w:val="1002"/>
        </w:numPr>
        <w:pStyle w:val="Compact"/>
      </w:pPr>
      <w:r>
        <w:t xml:space="preserve">How accurately can a neural network reproduce the battery capacities a</w:t>
      </w:r>
      <w:r>
        <w:t xml:space="preserve"> </w:t>
      </w:r>
      <w:r>
        <w:t xml:space="preserve">mechanistic optimization would have found, and how stable is that</w:t>
      </w:r>
      <w:r>
        <w:t xml:space="preserve"> </w:t>
      </w:r>
      <w:r>
        <w:t xml:space="preserve">accuracy across independent train/test splits (§5, cross-validation)?</w:t>
      </w:r>
    </w:p>
    <w:p>
      <w:pPr>
        <w:numPr>
          <w:ilvl w:val="0"/>
          <w:numId w:val="1002"/>
        </w:numPr>
        <w:pStyle w:val="Compact"/>
      </w:pPr>
      <w:r>
        <w:t xml:space="preserve">How does accuracy scale with training-set size (§6, learning curve)?</w:t>
      </w:r>
    </w:p>
    <w:p>
      <w:pPr>
        <w:numPr>
          <w:ilvl w:val="0"/>
          <w:numId w:val="1002"/>
        </w:numPr>
        <w:pStyle w:val="Compact"/>
      </w:pPr>
      <w:r>
        <w:t xml:space="preserve">Which scenario characteristics does the model rely on most (§7,</w:t>
      </w:r>
      <w:r>
        <w:t xml:space="preserve"> </w:t>
      </w:r>
      <w:r>
        <w:t xml:space="preserve">permutation importance)?</w:t>
      </w:r>
    </w:p>
    <w:p>
      <w:pPr>
        <w:numPr>
          <w:ilvl w:val="0"/>
          <w:numId w:val="1002"/>
        </w:numPr>
        <w:pStyle w:val="Compact"/>
      </w:pPr>
      <w:r>
        <w:t xml:space="preserve">Does the AI-selected battery achieve the required reliability when</w:t>
      </w:r>
      <w:r>
        <w:t xml:space="preserve"> </w:t>
      </w:r>
      <w:r>
        <w:t xml:space="preserve">verified using hourly mechanistic simulation — a genuine pass/fail</w:t>
      </w:r>
      <w:r>
        <w:t xml:space="preserve"> </w:t>
      </w:r>
      <w:r>
        <w:t xml:space="preserve">question again under off-grid, not the near-universal-by-construction</w:t>
      </w:r>
      <w:r>
        <w:t xml:space="preserve"> </w:t>
      </w:r>
      <w:r>
        <w:t xml:space="preserve">check V1’s diesel-backed system produced (§12)?</w:t>
      </w:r>
    </w:p>
    <w:p>
      <w:pPr>
        <w:numPr>
          <w:ilvl w:val="0"/>
          <w:numId w:val="1002"/>
        </w:numPr>
        <w:pStyle w:val="Compact"/>
      </w:pPr>
      <w:r>
        <w:t xml:space="preserve">How sensitive is the system’s economics to the battery cost assumption</w:t>
      </w:r>
      <w:r>
        <w:t xml:space="preserve"> </w:t>
      </w:r>
      <w:r>
        <w:t xml:space="preserve">(§13)?</w:t>
      </w:r>
    </w:p>
    <w:p>
      <w:pPr>
        <w:numPr>
          <w:ilvl w:val="0"/>
          <w:numId w:val="1002"/>
        </w:numPr>
        <w:pStyle w:val="Compact"/>
      </w:pPr>
      <w:r>
        <w:t xml:space="preserve">How much faster is neural-network inference than a complete mechanistic</w:t>
      </w:r>
      <w:r>
        <w:t xml:space="preserve"> </w:t>
      </w:r>
      <w:r>
        <w:t xml:space="preserve">battery-size search, precisely stated (§14)?</w:t>
      </w:r>
    </w:p>
    <w:p>
      <w:pPr>
        <w:pStyle w:val="FirstParagraph"/>
      </w:pPr>
      <w:r>
        <w:t xml:space="preserve">Research hypothesis, tested rather than assumed: the neural network can</w:t>
      </w:r>
      <w:r>
        <w:t xml:space="preserve"> </w:t>
      </w:r>
      <w:r>
        <w:t xml:space="preserve">approximate mechanistic battery-sizing outputs closely, at a fraction of</w:t>
      </w:r>
      <w:r>
        <w:t xml:space="preserve"> </w:t>
      </w:r>
      <w:r>
        <w:t xml:space="preserve">the per-scenario compute cost once trained, but its accuracy and</w:t>
      </w:r>
      <w:r>
        <w:t xml:space="preserve"> </w:t>
      </w:r>
      <w:r>
        <w:t xml:space="preserve">reliability depend on the representativeness of its training data, and</w:t>
      </w:r>
      <w:r>
        <w:t xml:space="preserve"> </w:t>
      </w:r>
      <w:r>
        <w:t xml:space="preserve">mechanistic verification remains necessary before trusting any single</w:t>
      </w:r>
      <w:r>
        <w:t xml:space="preserve"> </w:t>
      </w:r>
      <w:r>
        <w:t xml:space="preserve">prediction. The mechanistic model is the reference method throughout: the</w:t>
      </w:r>
      <w:r>
        <w:t xml:space="preserve"> </w:t>
      </w:r>
      <w:r>
        <w:t xml:space="preserve">neural network is trained on mechanistic outputs, so its performance is</w:t>
      </w:r>
      <w:r>
        <w:t xml:space="preserve"> </w:t>
      </w:r>
      <w:r>
        <w:t xml:space="preserve">reported as agreement with that reference, not as validation against real,</w:t>
      </w:r>
      <w:r>
        <w:t xml:space="preserve"> </w:t>
      </w:r>
      <w:r>
        <w:t xml:space="preserve">metered operational data (which this project does not have access to).</w:t>
      </w:r>
    </w:p>
    <w:bookmarkEnd w:id="22"/>
    <w:bookmarkStart w:id="29" w:name="system-description"/>
    <w:p>
      <w:pPr>
        <w:pStyle w:val="Heading2"/>
      </w:pPr>
      <w:r>
        <w:t xml:space="preserve">4. System Description</w:t>
      </w:r>
    </w:p>
    <w:p>
      <w:pPr>
        <w:pStyle w:val="FirstParagraph"/>
      </w:pPr>
      <w:r>
        <w:rPr>
          <w:bCs/>
          <w:b/>
        </w:rPr>
        <w:t xml:space="preserve">Off-grid configuration</w:t>
      </w:r>
      <w:r>
        <w:t xml:space="preserve"> </w:t>
      </w:r>
      <w:r>
        <w:t xml:space="preserve">(V2’s sole study configuration,</w:t>
      </w:r>
      <w:r>
        <w:t xml:space="preserve"> </w:t>
      </w:r>
      <w:r>
        <w:rPr>
          <w:rStyle w:val="VerbatimChar"/>
        </w:rPr>
        <w:t xml:space="preserve">config/ jinan.yaml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system.backup: none</w:t>
      </w:r>
      <w:r>
        <w:t xml:space="preserve">): PV + wind generation, battery</w:t>
      </w:r>
      <w:r>
        <w:t xml:space="preserve"> </w:t>
      </w:r>
      <w:r>
        <w:t xml:space="preserve">storage, and an electrical load, simulated hourly over one complete local</w:t>
      </w:r>
      <w:r>
        <w:t xml:space="preserve"> </w:t>
      </w:r>
      <w:r>
        <w:t xml:space="preserve">calendar year (8,760 hours, non-leap). No diesel or grid backup exists.</w:t>
      </w:r>
      <w:r>
        <w:t xml:space="preserve"> </w:t>
      </w:r>
      <w:r>
        <w:t xml:space="preserve">The reliability target (</w:t>
      </w:r>
      <w:r>
        <w:rPr>
          <w:rStyle w:val="VerbatimChar"/>
        </w:rPr>
        <w:t xml:space="preserve">reliability.primary_lpsp_target</w:t>
      </w:r>
      <w:r>
        <w:t xml:space="preserve">, 1% loss-of-</w:t>
      </w:r>
      <w:r>
        <w:t xml:space="preserve"> </w:t>
      </w:r>
      <w:r>
        <w:t xml:space="preserve">power-supply-probability) is a</w:t>
      </w:r>
      <w:r>
        <w:t xml:space="preserve"> </w:t>
      </w:r>
      <w:r>
        <w:rPr>
          <w:bCs/>
          <w:b/>
        </w:rPr>
        <w:t xml:space="preserve">hard constraint</w:t>
      </w:r>
      <w:r>
        <w:t xml:space="preserve">: the mechanistic search</w:t>
      </w:r>
      <w:r>
        <w:t xml:space="preserve"> </w:t>
      </w:r>
      <w:r>
        <w:t xml:space="preserve">finds the</w:t>
      </w:r>
      <w:r>
        <w:t xml:space="preserve"> </w:t>
      </w:r>
      <w:r>
        <w:rPr>
          <w:iCs/>
          <w:i/>
        </w:rPr>
        <w:t xml:space="preserve">smallest</w:t>
      </w:r>
      <w:r>
        <w:t xml:space="preserve"> </w:t>
      </w:r>
      <w:r>
        <w:t xml:space="preserve">battery (by module count, 0–80 modules of 250 kWh</w:t>
      </w:r>
      <w:r>
        <w:t xml:space="preserve"> </w:t>
      </w:r>
      <w:r>
        <w:t xml:space="preserve">each) that meets it; if no candidate in that range meets it, the scenario</w:t>
      </w:r>
      <w:r>
        <w:t xml:space="preserve"> </w:t>
      </w:r>
      <w:r>
        <w:t xml:space="preserve">is genuinely infeasible — reported and labelled as such, never silently</w:t>
      </w:r>
      <w:r>
        <w:t xml:space="preserve"> </w:t>
      </w:r>
      <w:r>
        <w:t xml:space="preserve">replaced by a maximum-battery guess (</w:t>
      </w:r>
      <w:r>
        <w:rPr>
          <w:rStyle w:val="VerbatimChar"/>
        </w:rPr>
        <w:t xml:space="preserve">src/physics/optimization.py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_select_smallest_feasible</w:t>
      </w:r>
      <w:r>
        <w:t xml:space="preserve">).</w:t>
      </w:r>
    </w:p>
    <w:p>
      <w:pPr>
        <w:pStyle w:val="BodyText"/>
      </w:pPr>
      <w:r>
        <w:t xml:space="preserve">This reverses V1’s later diesel-backed pivot (Addendum 3 in the shared</w:t>
      </w:r>
      <w:r>
        <w:t xml:space="preserve"> </w:t>
      </w:r>
      <w:r>
        <w:rPr>
          <w:rStyle w:val="VerbatimChar"/>
        </w:rPr>
        <w:t xml:space="preserve">PROJECT_BRIEF.md</w:t>
      </w:r>
      <w:r>
        <w:t xml:space="preserve">), under which diesel — sized by power, always ≥ peak</w:t>
      </w:r>
      <w:r>
        <w:t xml:space="preserve"> </w:t>
      </w:r>
      <w:r>
        <w:t xml:space="preserve">load — made reliability near-guaranteed for every candidate, and the</w:t>
      </w:r>
      <w:r>
        <w:t xml:space="preserve"> </w:t>
      </w:r>
      <w:r>
        <w:t xml:space="preserve">objective became minimizing system LCOE instead. Diesel-backed remains</w:t>
      </w:r>
      <w:r>
        <w:t xml:space="preserve"> </w:t>
      </w:r>
      <w:r>
        <w:t xml:space="preserve">fully supported by the same code (</w:t>
      </w:r>
      <w:r>
        <w:rPr>
          <w:rStyle w:val="VerbatimChar"/>
        </w:rPr>
        <w:t xml:space="preserve">system_backup="diesel"</w:t>
      </w:r>
      <w:r>
        <w:t xml:space="preserve">) and is V1’s</w:t>
      </w:r>
      <w:r>
        <w:t xml:space="preserve"> </w:t>
      </w:r>
      <w:r>
        <w:t xml:space="preserve">documented, valid prior result; it is not re-run here. §15 explains why</w:t>
      </w:r>
      <w:r>
        <w:t xml:space="preserve"> </w:t>
      </w:r>
      <w:r>
        <w:t xml:space="preserve">off-grid was chosen for V2.</w:t>
      </w:r>
    </w:p>
    <w:p>
      <w:pPr>
        <w:pStyle w:val="CaptionedFigure"/>
      </w:pPr>
      <w:r>
        <w:drawing>
          <wp:inline>
            <wp:extent cx="5334000" cy="1747112"/>
            <wp:effectExtent b="0" l="0" r="0" t="0"/>
            <wp:docPr descr="Baseline off-grid annual load, PV, and wind profile (Jinan, 2023)" title="" id="24" name="Picture"/>
            <a:graphic>
              <a:graphicData uri="http://schemas.openxmlformats.org/drawingml/2006/picture">
                <pic:pic>
                  <pic:nvPicPr>
                    <pic:cNvPr descr="../outputs/figures/01_annual_profil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7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Baseline off-grid annual load, PV, and wind profile (Jinan, 2023)</w:t>
      </w:r>
    </w:p>
    <w:p>
      <w:pPr>
        <w:pStyle w:val="CaptionedFigure"/>
      </w:pPr>
      <w:r>
        <w:drawing>
          <wp:inline>
            <wp:extent cx="5082718" cy="5403828"/>
            <wp:effectExtent b="0" l="0" r="0" t="0"/>
            <wp:docPr descr="Baseline energy-flow balance at the optimal battery size (20 modules, 5,000 kWh)" title="" id="27" name="Picture"/>
            <a:graphic>
              <a:graphicData uri="http://schemas.openxmlformats.org/drawingml/2006/picture">
                <pic:pic>
                  <pic:nvPicPr>
                    <pic:cNvPr descr="../outputs/figures/02_energy_flow_balanc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718" cy="5403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Baseline energy-flow balance at the optimal battery size (20 modules, 5,000 kWh)</w:t>
      </w:r>
    </w:p>
    <w:p>
      <w:pPr>
        <w:pStyle w:val="BodyText"/>
      </w:pPr>
      <w:r>
        <w:t xml:space="preserve">Site: Jinan, China (36.65°N, 117.12°E), industrial scale (matching V1’s</w:t>
      </w:r>
      <w:r>
        <w:t xml:space="preserve"> </w:t>
      </w:r>
      <w:r>
        <w:t xml:space="preserve">post-completion Addendum 2 pivot). PV 1,800 kWp, wind 1,450 kW (latitude-</w:t>
      </w:r>
      <w:r>
        <w:t xml:space="preserve"> </w:t>
      </w:r>
      <w:r>
        <w:t xml:space="preserve">tilt fixed array + a single utility-class turbine), baseline annual load</w:t>
      </w:r>
      <w:r>
        <w:t xml:space="preserve"> </w:t>
      </w:r>
      <w:r>
        <w:t xml:space="preserve">1.6 GWh/year at a 430 kW peak (§15 explains why this differs from V1’s 3.8</w:t>
      </w:r>
      <w:r>
        <w:t xml:space="preserve"> </w:t>
      </w:r>
      <w:r>
        <w:t xml:space="preserve">GWh/year figure).</w:t>
      </w:r>
    </w:p>
    <w:bookmarkEnd w:id="29"/>
    <w:bookmarkStart w:id="30" w:name="weather-and-load-data"/>
    <w:p>
      <w:pPr>
        <w:pStyle w:val="Heading2"/>
      </w:pPr>
      <w:r>
        <w:t xml:space="preserve">5. Weather and Load Data</w:t>
      </w:r>
    </w:p>
    <w:p>
      <w:pPr>
        <w:pStyle w:val="FirstParagraph"/>
      </w:pPr>
      <w:r>
        <w:t xml:space="preserve">Unchanged from V1: NASA POWER’s hourly reanalysis product for Jinan, 2023</w:t>
      </w:r>
      <w:r>
        <w:t xml:space="preserve"> </w:t>
      </w:r>
      <w:r>
        <w:t xml:space="preserve">local calendar year, GHI/DNI/DHI/temperature/wind-speed channels, validated</w:t>
      </w:r>
      <w:r>
        <w:t xml:space="preserve"> </w:t>
      </w:r>
      <w:r>
        <w:t xml:space="preserve">for unit consistency and completeness (8,760 records, no gaps). The</w:t>
      </w:r>
      <w:r>
        <w:t xml:space="preserve"> </w:t>
      </w:r>
      <w:r>
        <w:t xml:space="preserve">synthetic residential-shaped load profile generator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src.physics.load_profile.generate_load_profile</w:t>
      </w:r>
      <w:r>
        <w:t xml:space="preserve">) is reused unchanged from</w:t>
      </w:r>
      <w:r>
        <w:t xml:space="preserve"> </w:t>
      </w:r>
      <w:r>
        <w:t xml:space="preserve">V1 — this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real metered data, and is documented as a limitation in</w:t>
      </w:r>
      <w:r>
        <w:t xml:space="preserve"> </w:t>
      </w:r>
      <w:r>
        <w:t xml:space="preserve">both versions.</w:t>
      </w:r>
    </w:p>
    <w:bookmarkEnd w:id="30"/>
    <w:bookmarkStart w:id="31" w:name="X822e4b8bc32ff7fd35f30fee3695af6b8025cd6"/>
    <w:p>
      <w:pPr>
        <w:pStyle w:val="Heading2"/>
      </w:pPr>
      <w:r>
        <w:t xml:space="preserve">6. Mechanistic Models: PV, Wind, Battery (Task 1)</w:t>
      </w:r>
    </w:p>
    <w:p>
      <w:pPr>
        <w:pStyle w:val="FirstParagraph"/>
      </w:pPr>
      <w:r>
        <w:t xml:space="preserve">Rewritten from scratch against the course lecture’s exact equations, with</w:t>
      </w:r>
      <w:r>
        <w:t xml:space="preserve"> </w:t>
      </w:r>
      <w:r>
        <w:t xml:space="preserve">hand-computed-reference unit tests for every function (</w:t>
      </w:r>
      <w:r>
        <w:rPr>
          <w:rStyle w:val="VerbatimChar"/>
        </w:rPr>
        <w:t xml:space="preserve">tests/ test_pv_model.py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tests/test_wind_model.py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 test_energy_balance.py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PV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src/physics/pv_model.py</w:t>
      </w:r>
      <w:r>
        <w:t xml:space="preserve">): clearness index and extraterrestrial</w:t>
      </w:r>
      <w:r>
        <w:t xml:space="preserve"> </w:t>
      </w:r>
      <w:r>
        <w:t xml:space="preserve">irradiance (</w:t>
      </w:r>
      <w:r>
        <w:rPr>
          <w:rStyle w:val="VerbatimChar"/>
        </w:rPr>
        <w:t xml:space="preserve">k_t = GHI / EGHI</w:t>
      </w:r>
      <w:r>
        <w:t xml:space="preserve">), Erbs decomposition, and Liu &amp; Jordan</w:t>
      </w:r>
      <w:r>
        <w:t xml:space="preserve"> </w:t>
      </w:r>
      <w:r>
        <w:t xml:space="preserve">isotropic-sky tilted-plane transposition (</w:t>
      </w:r>
      <w:r>
        <w:rPr>
          <w:rStyle w:val="VerbatimChar"/>
        </w:rPr>
        <w:t xml:space="preserve">GTI = R_b·(GHI−DHI) + DHI·(1+cos β)/2 + ρ_g·GHI·(1−cos β)/2</w:t>
      </w:r>
      <w:r>
        <w:t xml:space="preserve">) are all implemented and tested</w:t>
      </w:r>
      <w:r>
        <w:t xml:space="preserve"> </w:t>
      </w:r>
      <w:r>
        <w:t xml:space="preserve">standalone. The main pipeline transposes using NASA POWER’s</w:t>
      </w:r>
      <w:r>
        <w:t xml:space="preserve"> </w:t>
      </w:r>
      <w:r>
        <w:rPr>
          <w:iCs/>
          <w:i/>
        </w:rPr>
        <w:t xml:space="preserve">measured</w:t>
      </w:r>
      <w:r>
        <w:t xml:space="preserve"> </w:t>
      </w:r>
      <w:r>
        <w:t xml:space="preserve">DNI/DHI directly via</w:t>
      </w:r>
      <w:r>
        <w:t xml:space="preserve"> </w:t>
      </w:r>
      <w:r>
        <w:rPr>
          <w:rStyle w:val="VerbatimChar"/>
        </w:rPr>
        <w:t xml:space="preserve">pvlib.irradiance.get_total_irradiance(model= "isotropic")</w:t>
      </w:r>
      <w:r>
        <w:t xml:space="preserve"> </w:t>
      </w:r>
      <w:r>
        <w:t xml:space="preserve">rather than decomposing DHI from GHI via Erbs — verified</w:t>
      </w:r>
      <w:r>
        <w:t xml:space="preserve"> </w:t>
      </w:r>
      <w:r>
        <w:t xml:space="preserve">numerically to be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Liu &amp; Jordan model, componentwise identical</w:t>
      </w:r>
      <w:r>
        <w:t xml:space="preserve"> </w:t>
      </w:r>
      <w:r>
        <w:t xml:space="preserve">for the sky-diffuse and ground-reflected terms, differing only in which</w:t>
      </w:r>
      <w:r>
        <w:t xml:space="preserve"> </w:t>
      </w:r>
      <w:r>
        <w:t xml:space="preserve">measured channel supplies the beam term (measured DNI vs. re-derived</w:t>
      </w:r>
      <w:r>
        <w:t xml:space="preserve"> </w:t>
      </w:r>
      <w:r>
        <w:rPr>
          <w:rStyle w:val="VerbatimChar"/>
        </w:rPr>
        <w:t xml:space="preserve">GHI−DHI</w:t>
      </w:r>
      <w:r>
        <w:t xml:space="preserve">, which are not perfectly consistent in real NASA POWER data —</w:t>
      </w:r>
      <w:r>
        <w:t xml:space="preserve"> </w:t>
      </w:r>
      <w:r>
        <w:t xml:space="preserve">residuals up to several tens of W/m², an inherent property of</w:t>
      </w:r>
      <w:r>
        <w:t xml:space="preserve"> </w:t>
      </w:r>
      <w:r>
        <w:t xml:space="preserve">independently-measured irradiance channels, not a bug). NOCT cell</w:t>
      </w:r>
      <w:r>
        <w:t xml:space="preserve"> </w:t>
      </w:r>
      <w:r>
        <w:t xml:space="preserve">temperature, a linear temperature-derating coefficient, and an incidence-</w:t>
      </w:r>
      <w:r>
        <w:t xml:space="preserve"> </w:t>
      </w:r>
      <w:r>
        <w:t xml:space="preserve">angle modifier complete the model.</w:t>
      </w:r>
    </w:p>
    <w:p>
      <w:pPr>
        <w:pStyle w:val="BodyText"/>
      </w:pPr>
      <w:r>
        <w:rPr>
          <w:bCs/>
          <w:b/>
        </w:rPr>
        <w:t xml:space="preserve">Wind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src/physics/wind_model.py</w:t>
      </w:r>
      <w:r>
        <w:t xml:space="preserve">): power-law height extrapolation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v(z) = v(z_r)·(z/z_r)^α</w:t>
      </w:r>
      <w:r>
        <w:t xml:space="preserve">, α = 0.14) and turbine output evaluated by</w:t>
      </w:r>
      <w:r>
        <w:t xml:space="preserve"> </w:t>
      </w:r>
      <w:r>
        <w:rPr>
          <w:bCs/>
          <w:b/>
        </w:rPr>
        <w:t xml:space="preserve">linear interpolation on a manufacturer-style power curve</w:t>
      </w:r>
      <w:r>
        <w:t xml:space="preserve"> </w:t>
      </w:r>
      <w:r>
        <w:t xml:space="preserve">(</w:t>
      </w:r>
      <w:r>
        <w:rPr>
          <w:rStyle w:val="VerbatimChar"/>
        </w:rPr>
        <w:t xml:space="preserve">numpy.interp</w:t>
      </w:r>
      <w:r>
        <w:t xml:space="preserve">, matching MATLAB’s</w:t>
      </w:r>
      <w:r>
        <w:t xml:space="preserve"> </w:t>
      </w:r>
      <w:r>
        <w:rPr>
          <w:rStyle w:val="VerbatimChar"/>
        </w:rPr>
        <w:t xml:space="preserve">interp1</w:t>
      </w:r>
      <w:r>
        <w:t xml:space="preserve">), replacing V1’s closed-form</w:t>
      </w:r>
      <w:r>
        <w:t xml:space="preserve"> </w:t>
      </w:r>
      <w:r>
        <w:t xml:space="preserve">cubic ramp formula. The power-curve table is a discretized (0.5 m/s</w:t>
      </w:r>
      <w:r>
        <w:t xml:space="preserve"> </w:t>
      </w:r>
      <w:r>
        <w:t xml:space="preserve">resolution) sampling of the same generic cubic-ramp shape used before —</w:t>
      </w:r>
      <w:r>
        <w:t xml:space="preserve"> </w:t>
      </w:r>
      <w:r>
        <w:t xml:space="preserve">a documented generic curve, not a certified manufacturer curve — so this</w:t>
      </w:r>
      <w:r>
        <w:t xml:space="preserve"> </w:t>
      </w:r>
      <w:r>
        <w:t xml:space="preserve">change affects the</w:t>
      </w:r>
      <w:r>
        <w:t xml:space="preserve"> </w:t>
      </w:r>
      <w:r>
        <w:rPr>
          <w:iCs/>
          <w:i/>
        </w:rPr>
        <w:t xml:space="preserve">evaluation mechanism</w:t>
      </w:r>
      <w:r>
        <w:t xml:space="preserve">, not the underlying curve shape.</w:t>
      </w:r>
    </w:p>
    <w:p>
      <w:pPr>
        <w:pStyle w:val="BodyText"/>
      </w:pPr>
      <w:r>
        <w:rPr>
          <w:bCs/>
          <w:b/>
        </w:rPr>
        <w:t xml:space="preserve">Battery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src/physics/battery.py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src/physics/dispatch.py</w:t>
      </w:r>
      <w:r>
        <w:t xml:space="preserve">): the</w:t>
      </w:r>
      <w:r>
        <w:t xml:space="preserve"> </w:t>
      </w:r>
      <w:r>
        <w:t xml:space="preserve">lecture’s exact SOC state equation, including self-discharge:</w:t>
      </w:r>
    </w:p>
    <w:p>
      <w:pPr>
        <w:pStyle w:val="SourceCode"/>
      </w:pPr>
      <w:r>
        <w:rPr>
          <w:rStyle w:val="VerbatimChar"/>
        </w:rPr>
        <w:t xml:space="preserve">Charging:    E[t] = min(E[t-1]·(1-SDR) + η_c·E_in,t − E_out,t/η_d, E_max)</w:t>
      </w:r>
      <w:r>
        <w:br/>
      </w:r>
      <w:r>
        <w:rPr>
          <w:rStyle w:val="VerbatimChar"/>
        </w:rPr>
        <w:t xml:space="preserve">Discharging: E[t] = max(E[t-1]·(1-SDR) + η_c·E_in,t − E_out,t/η_d, E_min)</w:t>
      </w:r>
    </w:p>
    <w:p>
      <w:pPr>
        <w:pStyle w:val="FirstParagraph"/>
      </w:pPr>
      <w:r>
        <w:rPr>
          <w:rStyle w:val="VerbatimChar"/>
        </w:rPr>
        <w:t xml:space="preserve">SDR</w:t>
      </w:r>
      <w:r>
        <w:t xml:space="preserve"> </w:t>
      </w:r>
      <w:r>
        <w:t xml:space="preserve">(self-discharge rate per hour) is new in V2 — previously omitted</w:t>
      </w:r>
      <w:r>
        <w:t xml:space="preserve"> </w:t>
      </w:r>
      <w:r>
        <w:t xml:space="preserve">entirely. Set to ≈3.4658×10⁻⁵/hour (a typical LFP value of 2.5%/month,</w:t>
      </w:r>
      <w:r>
        <w:t xml:space="preserve"> </w:t>
      </w:r>
      <w:r>
        <w:t xml:space="preserve">converted to hourly), it is now active in every scenario, not just</w:t>
      </w:r>
      <w:r>
        <w:t xml:space="preserve"> </w:t>
      </w:r>
      <w:r>
        <w:t xml:space="preserve">theoretically supported.</w:t>
      </w:r>
    </w:p>
    <w:bookmarkEnd w:id="31"/>
    <w:bookmarkStart w:id="32" w:name="neural-network-model"/>
    <w:p>
      <w:pPr>
        <w:pStyle w:val="Heading2"/>
      </w:pPr>
      <w:r>
        <w:t xml:space="preserve">7. Neural Network Model</w:t>
      </w:r>
    </w:p>
    <w:p>
      <w:pPr>
        <w:pStyle w:val="FirstParagraph"/>
      </w:pPr>
      <w:r>
        <w:t xml:space="preserve">Unchanged Keras/TensorFlow MLP architecture from V1 (</w:t>
      </w:r>
      <w:r>
        <w:rPr>
          <w:rStyle w:val="VerbatimChar"/>
        </w:rPr>
        <w:t xml:space="preserve">config/ ml_training.yaml</w:t>
      </w:r>
      <w:r>
        <w:t xml:space="preserve">): three hidden layers (128/64/32 units, ReLU), 10%</w:t>
      </w:r>
      <w:r>
        <w:t xml:space="preserve"> </w:t>
      </w:r>
      <w:r>
        <w:t xml:space="preserve">dropout after the first layer, ReLU output (non-negative capacity by</w:t>
      </w:r>
      <w:r>
        <w:t xml:space="preserve"> </w:t>
      </w:r>
      <w:r>
        <w:t xml:space="preserve">construction), Huber loss, Adam optimizer, early stopping and best-</w:t>
      </w:r>
      <w:r>
        <w:t xml:space="preserve"> </w:t>
      </w:r>
      <w:r>
        <w:t xml:space="preserve">checkpoint restoration on validation loss. Inputs are 37 engineered</w:t>
      </w:r>
      <w:r>
        <w:t xml:space="preserve"> </w:t>
      </w:r>
      <w:r>
        <w:t xml:space="preserve">features per scenario (load shape, PV/wind generation statistics, net-</w:t>
      </w:r>
      <w:r>
        <w:t xml:space="preserve"> </w:t>
      </w:r>
      <w:r>
        <w:t xml:space="preserve">load/deficit statistics, and the scenario’s own reliability</w:t>
      </w:r>
      <w:r>
        <w:t xml:space="preserve"> </w:t>
      </w:r>
      <w:r>
        <w:t xml:space="preserve">target/round-trip efficiency/usable-SOC-window — see</w:t>
      </w:r>
      <w:r>
        <w:t xml:space="preserve"> </w:t>
      </w:r>
      <w:r>
        <w:rPr>
          <w:rStyle w:val="VerbatimChar"/>
        </w:rPr>
        <w:t xml:space="preserve">src/ai/features.py</w:t>
      </w:r>
      <w:r>
        <w:t xml:space="preserve"> </w:t>
      </w:r>
      <w:r>
        <w:t xml:space="preserve">for the full list); the target is the mechanistic optimal battery capacity</w:t>
      </w:r>
      <w:r>
        <w:t xml:space="preserve"> </w:t>
      </w:r>
      <w:r>
        <w:t xml:space="preserve">(kWh). Every leakage-prone column (optimal capacity, module count,</w:t>
      </w:r>
      <w:r>
        <w:t xml:space="preserve"> </w:t>
      </w:r>
      <w:r>
        <w:t xml:space="preserve">reference LPSP/cost/LCOE/renewable share) is excluded from the feature set</w:t>
      </w:r>
      <w:r>
        <w:t xml:space="preserve"> </w:t>
      </w:r>
      <w:r>
        <w:t xml:space="preserve">and enforced by an automated guard (</w:t>
      </w:r>
      <w:r>
        <w:rPr>
          <w:rStyle w:val="VerbatimChar"/>
        </w:rPr>
        <w:t xml:space="preserve">LEAKAGE_COLUMNS</w:t>
      </w:r>
      <w:r>
        <w:t xml:space="preserve">, checked on every</w:t>
      </w:r>
      <w:r>
        <w:t xml:space="preserve"> </w:t>
      </w:r>
      <w:r>
        <w:t xml:space="preserve">feature-matrix build and by</w:t>
      </w:r>
      <w:r>
        <w:t xml:space="preserve"> </w:t>
      </w:r>
      <w:r>
        <w:rPr>
          <w:rStyle w:val="VerbatimChar"/>
        </w:rPr>
        <w:t xml:space="preserve">tests/test_features.py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No other ML baselines are used in V2</w:t>
      </w:r>
      <w:r>
        <w:t xml:space="preserve"> </w:t>
      </w:r>
      <w:r>
        <w:t xml:space="preserve">(Task 2): V1’s naive/Ridge/</w:t>
      </w:r>
      <w:r>
        <w:t xml:space="preserve"> </w:t>
      </w:r>
      <w:r>
        <w:t xml:space="preserve">Random-Forest comparisons are historical V1 results only, not reproduced</w:t>
      </w:r>
      <w:r>
        <w:t xml:space="preserve"> </w:t>
      </w:r>
      <w:r>
        <w:t xml:space="preserve">here, since the thesis’s core comparison is mechanistic vs. neural network.</w:t>
      </w:r>
    </w:p>
    <w:bookmarkEnd w:id="32"/>
    <w:bookmarkStart w:id="39" w:name="scenario-dataset"/>
    <w:p>
      <w:pPr>
        <w:pStyle w:val="Heading2"/>
      </w:pPr>
      <w:r>
        <w:t xml:space="preserve">8. Scenario Dataset</w:t>
      </w:r>
    </w:p>
    <w:p>
      <w:pPr>
        <w:pStyle w:val="FirstParagraph"/>
      </w:pPr>
      <w:r>
        <w:t xml:space="preserve">5,000 scenarios sampled (</w:t>
      </w:r>
      <w:r>
        <w:rPr>
          <w:rStyle w:val="VerbatimChar"/>
        </w:rPr>
        <w:t xml:space="preserve">config/scenario_generation.yaml</w:t>
      </w:r>
      <w:r>
        <w:t xml:space="preserve">, PV capacity</w:t>
      </w:r>
      <w:r>
        <w:t xml:space="preserve"> </w:t>
      </w:r>
      <w:r>
        <w:t xml:space="preserve">500–3,500 kWp, wind 200–2,000 kW, combined cap 5,000 kW, annual load</w:t>
      </w:r>
      <w:r>
        <w:t xml:space="preserve"> </w:t>
      </w:r>
      <w:r>
        <w:t xml:space="preserve">800,000–2,500,000 kWh/year, peak load 150–550 kW, reliability target</w:t>
      </w:r>
      <w:r>
        <w:t xml:space="preserve"> </w:t>
      </w:r>
      <w:r>
        <w:t xml:space="preserve">99.0–99.9%, round-trip efficiency 88–97%, usable SOC window 70–90%),</w:t>
      </w:r>
      <w:r>
        <w:t xml:space="preserve"> </w:t>
      </w:r>
      <w:r>
        <w:t xml:space="preserve">each independently run through the full mechanistic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src.scenarios.scenario_runner.run_scenario</w:t>
      </w:r>
      <w:r>
        <w:t xml:space="preserve">) at Jinan’s 2023 weather.</w:t>
      </w:r>
      <w:r>
        <w:t xml:space="preserve"> </w:t>
      </w:r>
      <w:r>
        <w:rPr>
          <w:bCs/>
          <w:b/>
        </w:rPr>
        <w:t xml:space="preserve">4,526 of 5,000 (90.5%) are feasible</w:t>
      </w:r>
      <w:r>
        <w:t xml:space="preserve"> </w:t>
      </w:r>
      <w:r>
        <w:t xml:space="preserve">under off-grid (§15); the</w:t>
      </w:r>
      <w:r>
        <w:t xml:space="preserve"> </w:t>
      </w:r>
      <w:r>
        <w:t xml:space="preserve">remaining 474 (9.5%) are genuinely infeasible — no battery within the</w:t>
      </w:r>
      <w:r>
        <w:t xml:space="preserve"> </w:t>
      </w:r>
      <w:r>
        <w:t xml:space="preserve">tested 0–80 module range bridges their renewable/load mismatch — and are</w:t>
      </w:r>
      <w:r>
        <w:t xml:space="preserve"> </w:t>
      </w:r>
      <w:r>
        <w:t xml:space="preserve">kept honestly labelled with an</w:t>
      </w:r>
      <w:r>
        <w:t xml:space="preserve"> </w:t>
      </w:r>
      <w:r>
        <w:rPr>
          <w:rStyle w:val="VerbatimChar"/>
        </w:rPr>
        <w:t xml:space="preserve">infeasibility_reason</w:t>
      </w:r>
      <w:r>
        <w:t xml:space="preserve"> </w:t>
      </w:r>
      <w:r>
        <w:t xml:space="preserve">string, never</w:t>
      </w:r>
      <w:r>
        <w:t xml:space="preserve"> </w:t>
      </w:r>
      <w:r>
        <w:t xml:space="preserve">replaced by a maximum-battery guess. Only feasible scenarios have a target</w:t>
      </w:r>
      <w:r>
        <w:t xml:space="preserve"> </w:t>
      </w:r>
      <w:r>
        <w:t xml:space="preserve">to regress on and are used for NN training/evaluation.</w:t>
      </w:r>
    </w:p>
    <w:p>
      <w:pPr>
        <w:pStyle w:val="CaptionedFigure"/>
      </w:pPr>
      <w:r>
        <w:drawing>
          <wp:inline>
            <wp:extent cx="5334000" cy="3782009"/>
            <wp:effectExtent b="0" l="0" r="0" t="0"/>
            <wp:docPr descr="Feasible vs. infeasible scenario counts, full 5,000-scenario dataset" title="" id="34" name="Picture"/>
            <a:graphic>
              <a:graphicData uri="http://schemas.openxmlformats.org/drawingml/2006/picture">
                <pic:pic>
                  <pic:nvPicPr>
                    <pic:cNvPr descr="../outputs/figures/03_feasibility_count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Feasible vs. infeasible scenario counts, full 5,000-scenario dataset</w:t>
      </w:r>
    </w:p>
    <w:p>
      <w:pPr>
        <w:pStyle w:val="CaptionedFigure"/>
      </w:pPr>
      <w:r>
        <w:drawing>
          <wp:inline>
            <wp:extent cx="5334000" cy="3784587"/>
            <wp:effectExtent b="0" l="0" r="0" t="0"/>
            <wp:docPr descr="Distribution of mechanistically optimal battery capacities among feasible scenarios" title="" id="37" name="Picture"/>
            <a:graphic>
              <a:graphicData uri="http://schemas.openxmlformats.org/drawingml/2006/picture">
                <pic:pic>
                  <pic:nvPicPr>
                    <pic:cNvPr descr="../outputs/figures/04_optimal_capacity_distribu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4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mechanistically optimal battery capacities among feasible scenarios</w:t>
      </w:r>
    </w:p>
    <w:bookmarkEnd w:id="39"/>
    <w:bookmarkStart w:id="40" w:name="Xb83a4c00428b726aac1bba212c4fb35b8c54904"/>
    <w:p>
      <w:pPr>
        <w:pStyle w:val="Heading2"/>
      </w:pPr>
      <w:r>
        <w:t xml:space="preserve">9. The Off-Grid Decision and the Sampling-Range Retune (Task 3)</w:t>
      </w:r>
    </w:p>
    <w:p>
      <w:pPr>
        <w:pStyle w:val="FirstParagraph"/>
      </w:pPr>
      <w:r>
        <w:rPr>
          <w:bCs/>
          <w:b/>
        </w:rPr>
        <w:t xml:space="preserve">This was a required checkpoint, not a unilateral choice.</w:t>
      </w:r>
      <w:r>
        <w:t xml:space="preserve"> </w:t>
      </w:r>
      <w:r>
        <w:t xml:space="preserve">The</w:t>
      </w:r>
      <w:r>
        <w:t xml:space="preserve"> </w:t>
      </w:r>
      <w:r>
        <w:t xml:space="preserve">engineering review’s Task 3 explicitly required confirming with the</w:t>
      </w:r>
      <w:r>
        <w:t xml:space="preserve"> </w:t>
      </w:r>
      <w:r>
        <w:t xml:space="preserve">thesis author whether V2 should study a diesel-backed system (continuing</w:t>
      </w:r>
      <w:r>
        <w:t xml:space="preserve"> </w:t>
      </w:r>
      <w:r>
        <w:t xml:space="preserve">V1’s Addendum-3 framing) or revert to the original off-grid specification,</w:t>
      </w:r>
      <w:r>
        <w:t xml:space="preserve"> </w:t>
      </w:r>
      <w:r>
        <w:t xml:space="preserve">because the two configurations test fundamentally different things:</w:t>
      </w:r>
      <w:r>
        <w:t xml:space="preserve"> </w:t>
      </w:r>
      <w:r>
        <w:t xml:space="preserve">diesel-backed makes reliability near-universal by construction and</w:t>
      </w:r>
      <w:r>
        <w:t xml:space="preserve"> </w:t>
      </w:r>
      <w:r>
        <w:t xml:space="preserve">verification tests cost-</w:t>
      </w:r>
      <w:r>
        <w:rPr>
          <w:iCs/>
          <w:i/>
        </w:rPr>
        <w:t xml:space="preserve">optimality</w:t>
      </w:r>
      <w:r>
        <w:t xml:space="preserve">; off-grid makes reliability a real</w:t>
      </w:r>
      <w:r>
        <w:t xml:space="preserve"> </w:t>
      </w:r>
      <w:r>
        <w:t xml:space="preserve">constraint and verification tests genuine pass/fail correctness. That</w:t>
      </w:r>
      <w:r>
        <w:t xml:space="preserve"> </w:t>
      </w:r>
      <w:r>
        <w:t xml:space="preserve">decision was made explicitly:</w:t>
      </w:r>
      <w:r>
        <w:t xml:space="preserve"> </w:t>
      </w:r>
      <w:r>
        <w:rPr>
          <w:bCs/>
          <w:b/>
        </w:rPr>
        <w:t xml:space="preserve">off-grid</w:t>
      </w:r>
      <w:r>
        <w:t xml:space="preserve">, on the grounds that it is the</w:t>
      </w:r>
      <w:r>
        <w:t xml:space="preserve"> </w:t>
      </w:r>
      <w:r>
        <w:t xml:space="preserve">harder, more informative case for a mechanistic-vs-NN comparison — the NN</w:t>
      </w:r>
      <w:r>
        <w:t xml:space="preserve"> </w:t>
      </w:r>
      <w:r>
        <w:t xml:space="preserve">must learn to respect a real reliability constraint, not just approximate</w:t>
      </w:r>
      <w:r>
        <w:t xml:space="preserve"> </w:t>
      </w:r>
      <w:r>
        <w:t xml:space="preserve">a cost curve. Diesel-backed stays as V1’s valid, documented result.</w:t>
      </w:r>
    </w:p>
    <w:p>
      <w:pPr>
        <w:pStyle w:val="BodyText"/>
      </w:pPr>
      <w:r>
        <w:rPr>
          <w:bCs/>
          <w:b/>
        </w:rPr>
        <w:t xml:space="preserve">The trap, and how it was avoided.</w:t>
      </w:r>
      <w:r>
        <w:t xml:space="preserve"> </w:t>
      </w:r>
      <w:r>
        <w:t xml:space="preserve">Naively flipping the</w:t>
      </w:r>
      <w:r>
        <w:t xml:space="preserve"> </w:t>
      </w:r>
      <w:r>
        <w:rPr>
          <w:rStyle w:val="VerbatimChar"/>
        </w:rPr>
        <w:t xml:space="preserve">system_backup</w:t>
      </w:r>
      <w:r>
        <w:t xml:space="preserve"> </w:t>
      </w:r>
      <w:r>
        <w:t xml:space="preserve">config flag to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t xml:space="preserve">under V1’s diesel-era sampling ranges (tuned only</w:t>
      </w:r>
      <w:r>
        <w:t xml:space="preserve"> </w:t>
      </w:r>
      <w:r>
        <w:t xml:space="preserve">for annual energy balance, since diesel-backed never needed a battery</w:t>
      </w:r>
      <w:r>
        <w:t xml:space="preserve"> </w:t>
      </w:r>
      <w:r>
        <w:t xml:space="preserve">large enough to bridge a full shortfall) reproduced this project’s</w:t>
      </w:r>
      <w:r>
        <w:t xml:space="preserve"> </w:t>
      </w:r>
      <w:r>
        <w:t xml:space="preserve">original, historical finding under off-grid conditions: only</w:t>
      </w:r>
      <w:r>
        <w:t xml:space="preserve"> </w:t>
      </w:r>
      <w:r>
        <w:rPr>
          <w:bCs/>
          <w:b/>
        </w:rPr>
        <w:t xml:space="preserve">39 of 100</w:t>
      </w:r>
      <w:r>
        <w:t xml:space="preserve"> </w:t>
      </w:r>
      <w:r>
        <w:t xml:space="preserve">scenarios were feasible in a direct test, because those ranges allowed</w:t>
      </w:r>
      <w:r>
        <w:t xml:space="preserve"> </w:t>
      </w:r>
      <w:r>
        <w:t xml:space="preserve">renewable-to-load ratios as low as ~1.1 — too close to parity for any</w:t>
      </w:r>
      <w:r>
        <w:t xml:space="preserve"> </w:t>
      </w:r>
      <w:r>
        <w:t xml:space="preserve">battery within the tested range to bridge a seasonal shortfall. Generating</w:t>
      </w:r>
      <w:r>
        <w:t xml:space="preserve"> </w:t>
      </w:r>
      <w:r>
        <w:t xml:space="preserve">the full dataset under those ranges would have collapsed the ML task to</w:t>
      </w:r>
      <w:r>
        <w:t xml:space="preserve"> </w:t>
      </w:r>
      <w:r>
        <w:t xml:space="preserve">mostly-infeasible labels, telling us little about battery</w:t>
      </w:r>
      <w:r>
        <w:t xml:space="preserve"> </w:t>
      </w:r>
      <w:r>
        <w:rPr>
          <w:iCs/>
          <w:i/>
        </w:rPr>
        <w:t xml:space="preserve">sizing</w:t>
      </w:r>
      <w:r>
        <w:t xml:space="preserve"> </w:t>
      </w:r>
      <w:r>
        <w:t xml:space="preserve">and</w:t>
      </w:r>
      <w:r>
        <w:t xml:space="preserve"> </w:t>
      </w:r>
      <w:r>
        <w:t xml:space="preserve">mostly just re-confirming a known energy-balance limitation.</w:t>
      </w:r>
    </w:p>
    <w:p>
      <w:pPr>
        <w:pStyle w:val="BodyText"/>
      </w:pPr>
      <w:r>
        <w:t xml:space="preserve">The sampling ranges were therefore re-tuned — narrowing</w:t>
      </w:r>
      <w:r>
        <w:t xml:space="preserve"> </w:t>
      </w:r>
      <w:r>
        <w:rPr>
          <w:rStyle w:val="VerbatimChar"/>
        </w:rPr>
        <w:t xml:space="preserve">annual_load_kwh</w:t>
      </w:r>
      <w:r>
        <w:t xml:space="preserve"> </w:t>
      </w:r>
      <w:r>
        <w:t xml:space="preserve">to 800,000–2,500,000 kWh/year and</w:t>
      </w:r>
      <w:r>
        <w:t xml:space="preserve"> </w:t>
      </w:r>
      <w:r>
        <w:rPr>
          <w:rStyle w:val="VerbatimChar"/>
        </w:rPr>
        <w:t xml:space="preserve">peak_load_kw</w:t>
      </w:r>
      <w:r>
        <w:t xml:space="preserve"> </w:t>
      </w:r>
      <w:r>
        <w:t xml:space="preserve">to 150–550 kW, leaving the</w:t>
      </w:r>
      <w:r>
        <w:t xml:space="preserve"> </w:t>
      </w:r>
      <w:r>
        <w:t xml:space="preserve">PV/wind/combined-capacity ranges untouched — and validated</w:t>
      </w:r>
      <w:r>
        <w:t xml:space="preserve"> </w:t>
      </w:r>
      <w:r>
        <w:rPr>
          <w:bCs/>
          <w:b/>
        </w:rPr>
        <w:t xml:space="preserve">empirically,</w:t>
      </w:r>
      <w:r>
        <w:rPr>
          <w:bCs/>
          <w:b/>
        </w:rPr>
        <w:t xml:space="preserve"> </w:t>
      </w:r>
      <w:r>
        <w:rPr>
          <w:bCs/>
          <w:b/>
        </w:rPr>
        <w:t xml:space="preserve">before committing to the full run</w:t>
      </w:r>
      <w:r>
        <w:t xml:space="preserve">: two independent 100-scenario pilots</w:t>
      </w:r>
      <w:r>
        <w:t xml:space="preserve"> </w:t>
      </w:r>
      <w:r>
        <w:t xml:space="preserve">(different random seeds) under the new ranges showed 88% and 90% feasible</w:t>
      </w:r>
      <w:r>
        <w:t xml:space="preserve"> </w:t>
      </w:r>
      <w:r>
        <w:t xml:space="preserve">respectively, comfortably above an 80% target while deliberately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pushed toward ~100% — a genuine ~10–12% infeasible tail was kept, so</w:t>
      </w:r>
      <w:r>
        <w:t xml:space="preserve"> </w:t>
      </w:r>
      <w:r>
        <w:t xml:space="preserve">infeasible labels remain a real, informative minority outcome rather than</w:t>
      </w:r>
      <w:r>
        <w:t xml:space="preserve"> </w:t>
      </w:r>
      <w:r>
        <w:t xml:space="preserve">an edge case scrubbed away by over-tuning. The full 5,000-scenario run then</w:t>
      </w:r>
      <w:r>
        <w:t xml:space="preserve"> </w:t>
      </w:r>
      <w:r>
        <w:t xml:space="preserve">confirmed 90.5% feasible (see the feasibility-counts figure in §8),</w:t>
      </w:r>
      <w:r>
        <w:t xml:space="preserve"> </w:t>
      </w:r>
      <w:r>
        <w:t xml:space="preserve">consistent with both pilots. The</w:t>
      </w:r>
      <w:r>
        <w:t xml:space="preserve"> </w:t>
      </w:r>
      <w:r>
        <w:t xml:space="preserve">Jinan baseline case (§4) was re-aligned to the same envelope for the same</w:t>
      </w:r>
      <w:r>
        <w:t xml:space="preserve"> </w:t>
      </w:r>
      <w:r>
        <w:t xml:space="preserve">reason (1.6 GWh/year replaces V1’s 3.8 GWh/year, at a renewable/load ratio</w:t>
      </w:r>
      <w:r>
        <w:t xml:space="preserve"> </w:t>
      </w:r>
      <w:r>
        <w:t xml:space="preserve">of ~2.6, confirmed off-grid-feasible: 20 modules, LPSP 0.94%, 99%</w:t>
      </w:r>
      <w:r>
        <w:t xml:space="preserve"> </w:t>
      </w:r>
      <w:r>
        <w:t xml:space="preserve">renewable share).</w:t>
      </w:r>
    </w:p>
    <w:bookmarkEnd w:id="40"/>
    <w:bookmarkStart w:id="41" w:name="load-profile-shape-coherence-fix-task-4"/>
    <w:p>
      <w:pPr>
        <w:pStyle w:val="Heading2"/>
      </w:pPr>
      <w:r>
        <w:t xml:space="preserve">10. Load-Profile-Shape Coherence Fix (Task 4)</w:t>
      </w:r>
    </w:p>
    <w:p>
      <w:pPr>
        <w:pStyle w:val="FirstParagraph"/>
      </w:pPr>
      <w:r>
        <w:t xml:space="preserve">V1 had an undocumented gap:</w:t>
      </w:r>
      <w:r>
        <w:t xml:space="preserve"> </w:t>
      </w:r>
      <w:r>
        <w:rPr>
          <w:rStyle w:val="VerbatimChar"/>
        </w:rPr>
        <w:t xml:space="preserve">config/jinan.yaml</w:t>
      </w:r>
      <w:r>
        <w:t xml:space="preserve">’s baseline showcase used</w:t>
      </w:r>
      <w:r>
        <w:t xml:space="preserve"> </w:t>
      </w:r>
      <w:r>
        <w:rPr>
          <w:rStyle w:val="VerbatimChar"/>
        </w:rPr>
        <w:t xml:space="preserve">profile_family: industrial_baseline</w:t>
      </w:r>
      <w:r>
        <w:t xml:space="preserve">, but every sampled ML scenario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src.scenarios.sampling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src.ai.features</w:t>
      </w:r>
      <w:r>
        <w:t xml:space="preserve">) always called</w:t>
      </w:r>
      <w:r>
        <w:t xml:space="preserve"> </w:t>
      </w:r>
      <w:r>
        <w:rPr>
          <w:rStyle w:val="VerbatimChar"/>
        </w:rPr>
        <w:t xml:space="preserve">generate_load_profile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profile_family</w:t>
      </w:r>
      <w:r>
        <w:t xml:space="preserve"> </w:t>
      </w:r>
      <w:r>
        <w:t xml:space="preserve">argument — silently</w:t>
      </w:r>
      <w:r>
        <w:t xml:space="preserve"> </w:t>
      </w:r>
      <w:r>
        <w:t xml:space="preserve">defaulting to</w:t>
      </w:r>
      <w:r>
        <w:t xml:space="preserve"> </w:t>
      </w:r>
      <w:r>
        <w:rPr>
          <w:rStyle w:val="VerbatimChar"/>
        </w:rPr>
        <w:t xml:space="preserve">residential_baseline</w:t>
      </w:r>
      <w:r>
        <w:t xml:space="preserve"> </w:t>
      </w:r>
      <w:r>
        <w:t xml:space="preserve">regardless of the config file’s</w:t>
      </w:r>
      <w:r>
        <w:t xml:space="preserve"> </w:t>
      </w:r>
      <w:r>
        <w:t xml:space="preserve">setting. The Stage-3 baseline</w:t>
      </w:r>
      <w:r>
        <w:t xml:space="preserve"> </w:t>
      </w:r>
      <w:r>
        <w:t xml:space="preserve">“</w:t>
      </w:r>
      <w:r>
        <w:t xml:space="preserve">showcase</w:t>
      </w:r>
      <w:r>
        <w:t xml:space="preserve">”</w:t>
      </w:r>
      <w:r>
        <w:t xml:space="preserve"> </w:t>
      </w:r>
      <w:r>
        <w:t xml:space="preserve">case therefore never actually</w:t>
      </w:r>
      <w:r>
        <w:t xml:space="preserve"> </w:t>
      </w:r>
      <w:r>
        <w:t xml:space="preserve">used the same load shape the ML dataset was trained on. V2 fixes this by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profile_family: residential_baseline</w:t>
      </w:r>
      <w:r>
        <w:t xml:space="preserve"> </w:t>
      </w:r>
      <w:r>
        <w:t xml:space="preserve">explicitly in the config,</w:t>
      </w:r>
      <w:r>
        <w:t xml:space="preserve"> </w:t>
      </w:r>
      <w:r>
        <w:t xml:space="preserve">so the documented setting matches what every code path has always</w:t>
      </w:r>
      <w:r>
        <w:t xml:space="preserve"> </w:t>
      </w:r>
      <w:r>
        <w:t xml:space="preserve">actually used.</w:t>
      </w:r>
    </w:p>
    <w:bookmarkEnd w:id="41"/>
    <w:bookmarkStart w:id="51" w:name="X41b2c1b3430f8279381c6540c2fcb5fc0ac77d6"/>
    <w:p>
      <w:pPr>
        <w:pStyle w:val="Heading2"/>
      </w:pPr>
      <w:r>
        <w:t xml:space="preserve">11. Results: Accuracy and Cross-Validation (Task 5)</w:t>
      </w:r>
    </w:p>
    <w:p>
      <w:pPr>
        <w:pStyle w:val="FirstParagraph"/>
      </w:pPr>
      <w:r>
        <w:t xml:space="preserve">A single 70/15/15 grouped train/val/test split (seed 42,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 </w:t>
      </w:r>
      <w:r>
        <w:t xml:space="preserve">as</w:t>
      </w:r>
      <w:r>
        <w:t xml:space="preserve"> </w:t>
      </w:r>
      <w:r>
        <w:t xml:space="preserve">the group column — a proxy for a plain random split here, since every</w:t>
      </w:r>
      <w:r>
        <w:t xml:space="preserve"> </w:t>
      </w:r>
      <w:r>
        <w:t xml:space="preserve">scenario is an i.i.d. draw with no near-duplicate family structure to</w:t>
      </w:r>
      <w:r>
        <w:t xml:space="preserve"> </w:t>
      </w:r>
      <w:r>
        <w:t xml:space="preserve">protect against) gives: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158.8 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328.8 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Within 10% of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Within 20% of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</w:tbl>
    <w:p>
      <w:pPr>
        <w:pStyle w:val="CaptionedFigure"/>
      </w:pPr>
      <w:r>
        <w:drawing>
          <wp:inline>
            <wp:extent cx="5334000" cy="3303929"/>
            <wp:effectExtent b="0" l="0" r="0" t="0"/>
            <wp:docPr descr="Neural network training/validation loss curves" title="" id="43" name="Picture"/>
            <a:graphic>
              <a:graphicData uri="http://schemas.openxmlformats.org/drawingml/2006/picture">
                <pic:pic>
                  <pic:nvPicPr>
                    <pic:cNvPr descr="../outputs/figures/05_training_histor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Neural network training/validation loss curves</w:t>
      </w:r>
    </w:p>
    <w:p>
      <w:pPr>
        <w:pStyle w:val="CaptionedFigure"/>
      </w:pPr>
      <w:r>
        <w:drawing>
          <wp:inline>
            <wp:extent cx="5334000" cy="5330984"/>
            <wp:effectExtent b="0" l="0" r="0" t="0"/>
            <wp:docPr descr="Predicted vs. reference capacity, 1:1 line, R² annotated, 680-scenario test split" title="" id="46" name="Picture"/>
            <a:graphic>
              <a:graphicData uri="http://schemas.openxmlformats.org/drawingml/2006/picture">
                <pic:pic>
                  <pic:nvPicPr>
                    <pic:cNvPr descr="../outputs/figures/06_predicted_vs_referenc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0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Predicted vs. reference capacity, 1:1 line, R² annotated, 680-scenario test split</w:t>
      </w:r>
    </w:p>
    <w:p>
      <w:pPr>
        <w:pStyle w:val="BodyText"/>
      </w:pPr>
      <w:r>
        <w:t xml:space="preserve">The figure above shows predicted vs. mechanistic-reference capacity on the</w:t>
      </w:r>
      <w:r>
        <w:t xml:space="preserve"> </w:t>
      </w:r>
      <w:r>
        <w:t xml:space="preserve">680-scenario test split, with the 1:1 line and R² annotated directly.</w:t>
      </w:r>
    </w:p>
    <w:p>
      <w:pPr>
        <w:pStyle w:val="BodyText"/>
      </w:pPr>
      <w:r>
        <w:rPr>
          <w:bCs/>
          <w:b/>
        </w:rPr>
        <w:t xml:space="preserve">A single split does not, by itself, establish that this result is</w:t>
      </w:r>
      <w:r>
        <w:rPr>
          <w:bCs/>
          <w:b/>
        </w:rPr>
        <w:t xml:space="preserve"> </w:t>
      </w:r>
      <w:r>
        <w:rPr>
          <w:bCs/>
          <w:b/>
        </w:rPr>
        <w:t xml:space="preserve">typical rather than a favorable draw.</w:t>
      </w:r>
      <w:r>
        <w:t xml:space="preserve"> </w:t>
      </w:r>
      <w:r>
        <w:t xml:space="preserve">Ten independent repeated 70/15/15</w:t>
      </w:r>
      <w:r>
        <w:t xml:space="preserve"> </w:t>
      </w:r>
      <w:r>
        <w:t xml:space="preserve">splits (seeds 0–9, full retraining each time) give: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±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MAE (kWh)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162.7 ± 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 (kWh)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289.5 ± 39.8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0.9939 ± 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0.9961</w:t>
            </w:r>
          </w:p>
        </w:tc>
      </w:tr>
    </w:tbl>
    <w:p>
      <w:pPr>
        <w:pStyle w:val="CaptionedFigure"/>
      </w:pPr>
      <w:r>
        <w:drawing>
          <wp:inline>
            <wp:extent cx="5334000" cy="1943344"/>
            <wp:effectExtent b="0" l="0" r="0" t="0"/>
            <wp:docPr descr="Cross-validation error bars: MAE, RMSE, and R² (mean ± std, 10 independent splits)" title="" id="49" name="Picture"/>
            <a:graphic>
              <a:graphicData uri="http://schemas.openxmlformats.org/drawingml/2006/picture">
                <pic:pic>
                  <pic:nvPicPr>
                    <pic:cNvPr descr="../outputs/figures/07_cross_validatio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Cross-validation error bars: MAE, RMSE, and R² (mean ± std, 10 independent splits)</w:t>
      </w:r>
    </w:p>
    <w:p>
      <w:pPr>
        <w:pStyle w:val="BodyText"/>
      </w:pPr>
      <w:r>
        <w:t xml:space="preserve">The headline seed-42 result falls squarely within this range: the reported</w:t>
      </w:r>
      <w:r>
        <w:t xml:space="preserve"> </w:t>
      </w:r>
      <w:r>
        <w:t xml:space="preserve">accuracy is representative, not an outlier.</w:t>
      </w:r>
    </w:p>
    <w:bookmarkEnd w:id="51"/>
    <w:bookmarkStart w:id="55" w:name="results-learning-curve-task-6"/>
    <w:p>
      <w:pPr>
        <w:pStyle w:val="Heading2"/>
      </w:pPr>
      <w:r>
        <w:t xml:space="preserve">12. Results: Learning Curve (Task 6)</w:t>
      </w:r>
    </w:p>
    <w:p>
      <w:pPr>
        <w:pStyle w:val="FirstParagraph"/>
      </w:pPr>
      <w:r>
        <w:t xml:space="preserve">Training-set size was varied from 100 to the full available 3,168-scenario</w:t>
      </w:r>
      <w:r>
        <w:t xml:space="preserve"> </w:t>
      </w:r>
      <w:r>
        <w:t xml:space="preserve">training split (fixed val/test at seed 42), rather than the suggested</w:t>
      </w:r>
      <w:r>
        <w:t xml:space="preserve"> </w:t>
      </w:r>
      <w:r>
        <w:t xml:space="preserve">3,500 — this dataset’s 4,526 feasible scenarios yield only 3,168 training</w:t>
      </w:r>
      <w:r>
        <w:t xml:space="preserve"> </w:t>
      </w:r>
      <w:r>
        <w:t xml:space="preserve">rows under a fixed 70/15/15 split, fewer than 5,000 × 0.70 = 3,500; the</w:t>
      </w:r>
      <w:r>
        <w:t xml:space="preserve"> </w:t>
      </w:r>
      <w:r>
        <w:t xml:space="preserve">last point is honestly capped at what is actually available rather than</w:t>
      </w:r>
      <w:r>
        <w:t xml:space="preserve"> </w:t>
      </w:r>
      <w:r>
        <w:t xml:space="preserve">forcing an unreachable number.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Training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(kWh)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3,168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</w:t>
            </w:r>
          </w:p>
        </w:tc>
      </w:tr>
    </w:tbl>
    <w:p>
      <w:pPr>
        <w:pStyle w:val="CaptionedFigure"/>
      </w:pPr>
      <w:r>
        <w:drawing>
          <wp:inline>
            <wp:extent cx="5334000" cy="3303929"/>
            <wp:effectExtent b="0" l="0" r="0" t="0"/>
            <wp:docPr descr="Learning curve: MAE and R² vs. training-set size" title="" id="53" name="Picture"/>
            <a:graphic>
              <a:graphicData uri="http://schemas.openxmlformats.org/drawingml/2006/picture">
                <pic:pic>
                  <pic:nvPicPr>
                    <pic:cNvPr descr="../outputs/figures/08_learning_curv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Learning curve: MAE and R² vs. training-set size</w:t>
      </w:r>
    </w:p>
    <w:p>
      <w:pPr>
        <w:pStyle w:val="BodyText"/>
      </w:pPr>
      <w:r>
        <w:t xml:space="preserve">The figure above shows this curve visually: accuracy improves sharply up</w:t>
      </w:r>
      <w:r>
        <w:t xml:space="preserve"> </w:t>
      </w:r>
      <w:r>
        <w:t xml:space="preserve">to ~1,000 scenarios, then</w:t>
      </w:r>
      <w:r>
        <w:t xml:space="preserve"> </w:t>
      </w:r>
      <w:r>
        <w:rPr>
          <w:bCs/>
          <w:b/>
        </w:rPr>
        <w:t xml:space="preserve">plateaus</w:t>
      </w:r>
      <w:r>
        <w:t xml:space="preserve"> </w:t>
      </w:r>
      <w:r>
        <w:t xml:space="preserve">— the jump from 2,000 to the full 3,168</w:t>
      </w:r>
      <w:r>
        <w:t xml:space="preserve"> </w:t>
      </w:r>
      <w:r>
        <w:t xml:space="preserve">training scenarios buys essentially nothing (179.9 → 179.3 kWh MAE).</w:t>
      </w:r>
      <w:r>
        <w:t xml:space="preserve"> </w:t>
      </w:r>
      <w:r>
        <w:t xml:space="preserve">Collecting substantially more scenarios beyond ~2,000 would not be an</w:t>
      </w:r>
      <w:r>
        <w:t xml:space="preserve"> </w:t>
      </w:r>
      <w:r>
        <w:t xml:space="preserve">efficient way to improve this model further; the useful lever for future</w:t>
      </w:r>
      <w:r>
        <w:t xml:space="preserve"> </w:t>
      </w:r>
      <w:r>
        <w:t xml:space="preserve">work is more informative features or a richer training distribution, not</w:t>
      </w:r>
      <w:r>
        <w:t xml:space="preserve"> </w:t>
      </w:r>
      <w:r>
        <w:t xml:space="preserve">raw dataset size.</w:t>
      </w:r>
    </w:p>
    <w:bookmarkEnd w:id="55"/>
    <w:bookmarkStart w:id="59" w:name="Xeeeef7fae7b3efeca43163c5e49ef3daea127c8"/>
    <w:p>
      <w:pPr>
        <w:pStyle w:val="Heading2"/>
      </w:pPr>
      <w:r>
        <w:t xml:space="preserve">13. Results: Permutation Feature Importance (Task 7)</w:t>
      </w:r>
    </w:p>
    <w:p>
      <w:pPr>
        <w:pStyle w:val="FirstParagraph"/>
      </w:pPr>
      <w:r>
        <w:t xml:space="preserve">Each of the 37 input features was independently shuffled on the test split</w:t>
      </w:r>
      <w:r>
        <w:t xml:space="preserve"> </w:t>
      </w:r>
      <w:r>
        <w:t xml:space="preserve">(10 repeats each) and the resulting increase in MAE recorded, using the</w:t>
      </w:r>
      <w:r>
        <w:t xml:space="preserve"> </w:t>
      </w:r>
      <w:r>
        <w:t xml:space="preserve">already-trained headline model (no retraining). The five most important</w:t>
      </w:r>
      <w:r>
        <w:t xml:space="preserve"> </w:t>
      </w:r>
      <w:r>
        <w:t xml:space="preserve">features are: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MAE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baseline MAE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monthly_renewable_variability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1,332.7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worst_monthly_renewable_to_load_ratio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1,260.5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reliability_target_load_served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943.7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n_surplus_hours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699.6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n_deficit_hours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654.4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412%</w:t>
            </w:r>
          </w:p>
        </w:tc>
      </w:tr>
    </w:tbl>
    <w:p>
      <w:pPr>
        <w:pStyle w:val="CaptionedFigure"/>
      </w:pPr>
      <w:r>
        <w:drawing>
          <wp:inline>
            <wp:extent cx="5334000" cy="4994010"/>
            <wp:effectExtent b="0" l="0" r="0" t="0"/>
            <wp:docPr descr="Permutation feature importance, top 15 features by mean MAE increase" title="" id="57" name="Picture"/>
            <a:graphic>
              <a:graphicData uri="http://schemas.openxmlformats.org/drawingml/2006/picture">
                <pic:pic>
                  <pic:nvPicPr>
                    <pic:cNvPr descr="../outputs/figures/09_permutation_importanc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4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Permutation feature importance, top 15 features by mean MAE increase</w:t>
      </w:r>
    </w:p>
    <w:p>
      <w:pPr>
        <w:pStyle w:val="BodyText"/>
      </w:pPr>
      <w:r>
        <w:t xml:space="preserve">This is physically sensible, and reassuring: under an off-grid hard</w:t>
      </w:r>
      <w:r>
        <w:t xml:space="preserve"> </w:t>
      </w:r>
      <w:r>
        <w:t xml:space="preserve">reliability constraint, the model relies most heavily on exactly the</w:t>
      </w:r>
      <w:r>
        <w:t xml:space="preserve"> </w:t>
      </w:r>
      <w:r>
        <w:t xml:space="preserve">quantities that should determine how much battery is needed to bridge a</w:t>
      </w:r>
      <w:r>
        <w:t xml:space="preserve"> </w:t>
      </w:r>
      <w:r>
        <w:t xml:space="preserve">shortfall — how variable renewable generation is month-to-month, how bad</w:t>
      </w:r>
      <w:r>
        <w:t xml:space="preserve"> </w:t>
      </w:r>
      <w:r>
        <w:t xml:space="preserve">the single worst month’s generation/load ratio is, and how strict the</w:t>
      </w:r>
      <w:r>
        <w:t xml:space="preserve"> </w:t>
      </w:r>
      <w:r>
        <w:t xml:space="preserve">reliability target itself is — rather than on some spurious correlate.</w:t>
      </w:r>
    </w:p>
    <w:bookmarkEnd w:id="59"/>
    <w:bookmarkStart w:id="60" w:name="results-physical-verification"/>
    <w:p>
      <w:pPr>
        <w:pStyle w:val="Heading2"/>
      </w:pPr>
      <w:r>
        <w:t xml:space="preserve">14. Results: Physical Verification</w:t>
      </w:r>
    </w:p>
    <w:p>
      <w:pPr>
        <w:pStyle w:val="FirstParagraph"/>
      </w:pPr>
      <w:r>
        <w:t xml:space="preserve">Every test-split prediction was rounded up to an installable module count</w:t>
      </w:r>
      <w:r>
        <w:t xml:space="preserve"> </w:t>
      </w:r>
      <w:r>
        <w:t xml:space="preserve">(never down) and re-simulated through the full hourly mechanistic</w:t>
      </w:r>
      <w:r>
        <w:t xml:space="preserve"> </w:t>
      </w:r>
      <w:r>
        <w:t xml:space="preserve">dispatch model, exactly as a deployment would have to (</w:t>
      </w:r>
      <w:r>
        <w:rPr>
          <w:rStyle w:val="VerbatimChar"/>
        </w:rPr>
        <w:t xml:space="preserve">src.ai. physical_verification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Predictions meeting their own reliability target after 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extra system LCOE vs. the true optimum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0.0046 EUR/kWh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Within 5% of optimal system LCOE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Undersized (predicted &lt;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Oversized (predicted &gt;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52.9%</w:t>
            </w:r>
          </w:p>
        </w:tc>
      </w:tr>
    </w:tbl>
    <w:p>
      <w:pPr>
        <w:pStyle w:val="BodyText"/>
      </w:pPr>
      <w:r>
        <w:t xml:space="preserve">Unlike V1’s diesel-backed system — where reliability was near-guaranteed</w:t>
      </w:r>
      <w:r>
        <w:t xml:space="preserve"> </w:t>
      </w:r>
      <w:r>
        <w:t xml:space="preserve">by construction and physical verification’s headline question became</w:t>
      </w:r>
      <w:r>
        <w:t xml:space="preserve"> </w:t>
      </w:r>
      <w:r>
        <w:t xml:space="preserve">“</w:t>
      </w:r>
      <w:r>
        <w:t xml:space="preserve">how much extra does trusting the AI cost</w:t>
      </w:r>
      <w:r>
        <w:t xml:space="preserve">”</w:t>
      </w:r>
      <w:r>
        <w:t xml:space="preserve"> </w:t>
      </w:r>
      <w:r>
        <w:t xml:space="preserve">— off-grid reliability is a</w:t>
      </w:r>
      <w:r>
        <w:t xml:space="preserve"> </w:t>
      </w:r>
      <w:r>
        <w:rPr>
          <w:bCs/>
          <w:b/>
        </w:rPr>
        <w:t xml:space="preserve">real, non-trivial pass/fail question again</w:t>
      </w:r>
      <w:r>
        <w:t xml:space="preserve">: 6.0% of test predictions</w:t>
      </w:r>
      <w:r>
        <w:t xml:space="preserve"> </w:t>
      </w:r>
      <w:r>
        <w:t xml:space="preserve">underestimate the required capacity by enough that, even after rounding up</w:t>
      </w:r>
      <w:r>
        <w:t xml:space="preserve"> </w:t>
      </w:r>
      <w:r>
        <w:t xml:space="preserve">to the nearest 250 kWh module, the resulting system misses its own</w:t>
      </w:r>
      <w:r>
        <w:t xml:space="preserve"> </w:t>
      </w:r>
      <w:r>
        <w:t xml:space="preserve">reliability target. This is the direct, honest answer to Research Question</w:t>
      </w:r>
      <w:r>
        <w:t xml:space="preserve"> </w:t>
      </w:r>
      <w:r>
        <w:t xml:space="preserve">4 (§3): the neural network’s rounded predictions do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achieve the</w:t>
      </w:r>
      <w:r>
        <w:t xml:space="preserve"> </w:t>
      </w:r>
      <w:r>
        <w:t xml:space="preserve">required reliability in every case, and mechanistic re-verification before</w:t>
      </w:r>
      <w:r>
        <w:t xml:space="preserve"> </w:t>
      </w:r>
      <w:r>
        <w:t xml:space="preserve">deployment remains necessary, exactly as the tested hypothesis anticipated.</w:t>
      </w:r>
    </w:p>
    <w:bookmarkEnd w:id="60"/>
    <w:bookmarkStart w:id="64" w:name="results-cost-sensitivity-task-8"/>
    <w:p>
      <w:pPr>
        <w:pStyle w:val="Heading2"/>
      </w:pPr>
      <w:r>
        <w:t xml:space="preserve">15. Results: Cost Sensitivity (Task 8)</w:t>
      </w:r>
    </w:p>
    <w:p>
      <w:pPr>
        <w:pStyle w:val="FirstParagraph"/>
      </w:pPr>
      <w:r>
        <w:t xml:space="preserve">Battery installed cost was swept across the project’s own documented</w:t>
      </w:r>
      <w:r>
        <w:t xml:space="preserve"> </w:t>
      </w:r>
      <w:r>
        <w:t xml:space="preserve">sensitivity range (</w:t>
      </w:r>
      <w:r>
        <w:rPr>
          <w:rStyle w:val="VerbatimChar"/>
        </w:rPr>
        <w:t xml:space="preserve">config/jinan.yaml battery.cost_sensitivity_eur_per_kwh: [220, 300, 400]</w:t>
      </w:r>
      <w:r>
        <w:t xml:space="preserve"> </w:t>
      </w:r>
      <w:r>
        <w:t xml:space="preserve">EUR/kWh, baseline 300) across all 4,526 feasible</w:t>
      </w:r>
      <w:r>
        <w:t xml:space="preserve"> </w:t>
      </w:r>
      <w:r>
        <w:t xml:space="preserve">scenarios, closed-form (PV/wind/battery capital+O&amp;M cost are pure</w:t>
      </w:r>
      <w:r>
        <w:t xml:space="preserve"> </w:t>
      </w:r>
      <w:r>
        <w:t xml:space="preserve">functions of capacity and configuration, independent of the hourly</w:t>
      </w:r>
      <w:r>
        <w:t xml:space="preserve"> </w:t>
      </w:r>
      <w:r>
        <w:t xml:space="preserve">dispatch — a sanity-check assertion confirms this reconstruction exactly</w:t>
      </w:r>
      <w:r>
        <w:t xml:space="preserve"> </w:t>
      </w:r>
      <w:r>
        <w:t xml:space="preserve">recovers the stored baseline system LCOE before trusting the swept points):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Battery cost (EUR/kWh)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system LCOE (EUR/kWh)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share of total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45.3%</w:t>
            </w:r>
          </w:p>
        </w:tc>
      </w:tr>
    </w:tbl>
    <w:p>
      <w:pPr>
        <w:pStyle w:val="CaptionedFigure"/>
      </w:pPr>
      <w:r>
        <w:drawing>
          <wp:inline>
            <wp:extent cx="5334000" cy="3782759"/>
            <wp:effectExtent b="0" l="0" r="0" t="0"/>
            <wp:docPr descr="System LCOE vs. battery installed cost, P10-P90 band across scenarios" title="" id="62" name="Picture"/>
            <a:graphic>
              <a:graphicData uri="http://schemas.openxmlformats.org/drawingml/2006/picture">
                <pic:pic>
                  <pic:nvPicPr>
                    <pic:cNvPr descr="../outputs/figures/10_cost_sensitivity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2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LCOE vs. battery installed cost, P10-P90 band across scenarios</w:t>
      </w:r>
    </w:p>
    <w:p>
      <w:pPr>
        <w:pStyle w:val="BodyText"/>
      </w:pPr>
      <w:r>
        <w:t xml:space="preserve">The figure above shows the full distribution (P10–P90 band). Battery cost</w:t>
      </w:r>
      <w:r>
        <w:t xml:space="preserve"> </w:t>
      </w:r>
      <w:r>
        <w:t xml:space="preserve">drives roughly a third to nearly half of total system cost across this range —</w:t>
      </w:r>
      <w:r>
        <w:t xml:space="preserve"> </w:t>
      </w:r>
      <w:r>
        <w:t xml:space="preserve">a materially significant, but not dominant, share; PV and wind capital</w:t>
      </w:r>
      <w:r>
        <w:t xml:space="preserve"> </w:t>
      </w:r>
      <w:r>
        <w:t xml:space="preserve">cost make up the remainder.</w:t>
      </w:r>
      <w:r>
        <w:t xml:space="preserve"> </w:t>
      </w:r>
      <w:r>
        <w:rPr>
          <w:bCs/>
          <w:b/>
        </w:rPr>
        <w:t xml:space="preserve">Diesel price sensitivity, the brief’s other</w:t>
      </w:r>
      <w:r>
        <w:rPr>
          <w:bCs/>
          <w:b/>
        </w:rPr>
        <w:t xml:space="preserve"> </w:t>
      </w:r>
      <w:r>
        <w:rPr>
          <w:bCs/>
          <w:b/>
        </w:rPr>
        <w:t xml:space="preserve">suggested leg, does not apply to V2’s off-grid study</w:t>
      </w:r>
      <w:r>
        <w:t xml:space="preserve"> </w:t>
      </w:r>
      <w:r>
        <w:t xml:space="preserve">— diesel’s rated</w:t>
      </w:r>
      <w:r>
        <w:t xml:space="preserve"> </w:t>
      </w:r>
      <w:r>
        <w:t xml:space="preserve">power is exactly 0 kW for every V2 scenario, so no diesel cost assumption</w:t>
      </w:r>
      <w:r>
        <w:t xml:space="preserve"> </w:t>
      </w:r>
      <w:r>
        <w:t xml:space="preserve">can affect anything here. That sensitivity remains meaningful only for</w:t>
      </w:r>
      <w:r>
        <w:t xml:space="preserve"> </w:t>
      </w:r>
      <w:r>
        <w:t xml:space="preserve">V1’s diesel-backed configuration, where it was not separately explored</w:t>
      </w:r>
      <w:r>
        <w:t xml:space="preserve"> </w:t>
      </w:r>
      <w:r>
        <w:t xml:space="preserve">either (a genuine limitation of both versions, noted rather than glossed</w:t>
      </w:r>
      <w:r>
        <w:t xml:space="preserve"> </w:t>
      </w:r>
      <w:r>
        <w:t xml:space="preserve">over).</w:t>
      </w:r>
    </w:p>
    <w:bookmarkEnd w:id="64"/>
    <w:bookmarkStart w:id="65" w:name="X7b6487024e01fbcac29ee6e366025e282f38fc7"/>
    <w:p>
      <w:pPr>
        <w:pStyle w:val="Heading2"/>
      </w:pPr>
      <w:r>
        <w:t xml:space="preserve">16. Computational Efficiency, Precisely Stated (Task 9)</w:t>
      </w:r>
    </w:p>
    <w:p>
      <w:pPr>
        <w:pStyle w:val="FirstParagraph"/>
      </w:pPr>
      <w:r>
        <w:t xml:space="preserve">V1’s efficiency claim (</w:t>
      </w:r>
      <w:r>
        <w:t xml:space="preserve">“</w:t>
      </w:r>
      <w:r>
        <w:t xml:space="preserve">neural-network inference is much faster than a</w:t>
      </w:r>
      <w:r>
        <w:t xml:space="preserve"> </w:t>
      </w:r>
      <w:r>
        <w:t xml:space="preserve">complete mechanistic search</w:t>
      </w:r>
      <w:r>
        <w:t xml:space="preserve">”</w:t>
      </w:r>
      <w:r>
        <w:t xml:space="preserve">) is true but was previously stated loosely.</w:t>
      </w:r>
      <w:r>
        <w:t xml:space="preserve"> </w:t>
      </w:r>
      <w:r>
        <w:t xml:space="preserve">Measured directly on this project’s own hardware: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Mechanistic optimization</w:t>
      </w:r>
      <w:r>
        <w:t xml:space="preserve"> </w:t>
      </w:r>
      <w:r>
        <w:t xml:space="preserve">(searching all 0–80 candidate battery</w:t>
      </w:r>
      <w:r>
        <w:t xml:space="preserve"> </w:t>
      </w:r>
      <w:r>
        <w:t xml:space="preserve">sizes, each requiring a full 8,760-hour dispatch simulation):</w:t>
      </w:r>
      <w:r>
        <w:t xml:space="preserve"> </w:t>
      </w:r>
      <w:r>
        <w:rPr>
          <w:bCs/>
          <w:b/>
        </w:rPr>
        <w:t xml:space="preserve">0.377</w:t>
      </w:r>
      <w:r>
        <w:rPr>
          <w:bCs/>
          <w:b/>
        </w:rPr>
        <w:t xml:space="preserve"> </w:t>
      </w:r>
      <w:r>
        <w:rPr>
          <w:bCs/>
          <w:b/>
        </w:rPr>
        <w:t xml:space="preserve">seconds per scenario on average</w:t>
      </w:r>
      <w:r>
        <w:t xml:space="preserve"> </w:t>
      </w:r>
      <w:r>
        <w:t xml:space="preserve">(5,000-scenario dataset, median 0.370s,</w:t>
      </w:r>
      <w:r>
        <w:t xml:space="preserve"> </w:t>
      </w:r>
      <w:r>
        <w:t xml:space="preserve">range 0.310–2.641s).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Neural-network inference, batched</w:t>
      </w:r>
      <w:r>
        <w:t xml:space="preserve"> </w:t>
      </w:r>
      <w:r>
        <w:t xml:space="preserve">(predicting all 680 test-split</w:t>
      </w:r>
      <w:r>
        <w:t xml:space="preserve"> </w:t>
      </w:r>
      <w:r>
        <w:t xml:space="preserve">scenarios in one call — the realistic regime for evaluating many</w:t>
      </w:r>
      <w:r>
        <w:t xml:space="preserve"> </w:t>
      </w:r>
      <w:r>
        <w:t xml:space="preserve">candidate scenarios at once):</w:t>
      </w:r>
      <w:r>
        <w:t xml:space="preserve"> </w:t>
      </w:r>
      <w:r>
        <w:rPr>
          <w:bCs/>
          <w:b/>
        </w:rPr>
        <w:t xml:space="preserve">0.15 milliseconds per scenario</w:t>
      </w:r>
      <w:r>
        <w:t xml:space="preserve">, roughly</w:t>
      </w:r>
      <w:r>
        <w:t xml:space="preserve"> </w:t>
      </w:r>
      <w:r>
        <w:rPr>
          <w:bCs/>
          <w:b/>
        </w:rPr>
        <w:t xml:space="preserve">2,500× faster</w:t>
      </w:r>
      <w:r>
        <w:t xml:space="preserve"> </w:t>
      </w:r>
      <w:r>
        <w:t xml:space="preserve">than the mechanistic search, per scenario.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Neural-network inference, single scenario at a time</w:t>
      </w:r>
      <w:r>
        <w:t xml:space="preserve"> </w:t>
      </w:r>
      <w:r>
        <w:t xml:space="preserve">(one ad-hoc</w:t>
      </w:r>
      <w:r>
        <w:t xml:space="preserve"> </w:t>
      </w:r>
      <w:r>
        <w:t xml:space="preserve">query, e.g. an interactive tool evaluating one design at a time):</w:t>
      </w:r>
      <w:r>
        <w:t xml:space="preserve"> </w:t>
      </w:r>
      <w:r>
        <w:rPr>
          <w:bCs/>
          <w:b/>
        </w:rPr>
        <w:t xml:space="preserve">~58 milliseconds</w:t>
      </w:r>
      <w:r>
        <w:t xml:space="preserve">, dominated by per-call framework overhead rather</w:t>
      </w:r>
      <w:r>
        <w:t xml:space="preserve"> </w:t>
      </w:r>
      <w:r>
        <w:t xml:space="preserve">than the arithmetic itself — still</w:t>
      </w:r>
      <w:r>
        <w:t xml:space="preserve"> </w:t>
      </w:r>
      <w:r>
        <w:rPr>
          <w:bCs/>
          <w:b/>
        </w:rPr>
        <w:t xml:space="preserve">~6.5× faster</w:t>
      </w:r>
      <w:r>
        <w:t xml:space="preserve"> </w:t>
      </w:r>
      <w:r>
        <w:t xml:space="preserve">than the mechanistic</w:t>
      </w:r>
      <w:r>
        <w:t xml:space="preserve"> </w:t>
      </w:r>
      <w:r>
        <w:t xml:space="preserve">search, but nowhere near the batched figure.</w:t>
      </w:r>
    </w:p>
    <w:p>
      <w:pPr>
        <w:pStyle w:val="FirstParagraph"/>
      </w:pPr>
      <w:r>
        <w:t xml:space="preserve">The precise, honest claim is therefore:</w:t>
      </w:r>
      <w:r>
        <w:t xml:space="preserve"> </w:t>
      </w:r>
      <w:r>
        <w:rPr>
          <w:bCs/>
          <w:b/>
        </w:rPr>
        <w:t xml:space="preserve">the neural network’s efficiency</w:t>
      </w:r>
      <w:r>
        <w:rPr>
          <w:bCs/>
          <w:b/>
        </w:rPr>
        <w:t xml:space="preserve"> </w:t>
      </w:r>
      <w:r>
        <w:rPr>
          <w:bCs/>
          <w:b/>
        </w:rPr>
        <w:t xml:space="preserve">advantage is real but regime-dependent</w:t>
      </w:r>
      <w:r>
        <w:t xml:space="preserve"> </w:t>
      </w:r>
      <w:r>
        <w:t xml:space="preserve">— it is dramatic (~2,500×) when</w:t>
      </w:r>
      <w:r>
        <w:t xml:space="preserve"> </w:t>
      </w:r>
      <w:r>
        <w:t xml:space="preserve">many scenarios are evaluated together, and much more modest (~6.5×) for</w:t>
      </w:r>
      <w:r>
        <w:t xml:space="preserve"> </w:t>
      </w:r>
      <w:r>
        <w:t xml:space="preserve">one-off single predictions, because a large fraction of the single-call</w:t>
      </w:r>
      <w:r>
        <w:t xml:space="preserve"> </w:t>
      </w:r>
      <w:r>
        <w:t xml:space="preserve">latency is fixed per-call overhead rather than genuine computation. This</w:t>
      </w:r>
      <w:r>
        <w:t xml:space="preserve"> </w:t>
      </w:r>
      <w:r>
        <w:t xml:space="preserve">advantage also excludes the NN’s own one-time training cost (a few minutes</w:t>
      </w:r>
      <w:r>
        <w:t xml:space="preserve"> </w:t>
      </w:r>
      <w:r>
        <w:t xml:space="preserve">per training run, §11–§12), which the mechanistic method does not incur at</w:t>
      </w:r>
      <w:r>
        <w:t xml:space="preserve"> </w:t>
      </w:r>
      <w:r>
        <w:t xml:space="preserve">all — the NN is only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per new scenario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that upfront</w:t>
      </w:r>
      <w:r>
        <w:t xml:space="preserve"> </w:t>
      </w:r>
      <w:r>
        <w:t xml:space="preserve">investment, and only pays off if many scenarios need evaluating.</w:t>
      </w:r>
    </w:p>
    <w:bookmarkEnd w:id="65"/>
    <w:bookmarkStart w:id="66" w:name="discussion-and-limitations"/>
    <w:p>
      <w:pPr>
        <w:pStyle w:val="Heading2"/>
      </w:pPr>
      <w:r>
        <w:t xml:space="preserve">17. Discussion and Limitations</w:t>
      </w:r>
    </w:p>
    <w:p>
      <w:pPr>
        <w:numPr>
          <w:ilvl w:val="0"/>
          <w:numId w:val="1004"/>
        </w:numPr>
        <w:pStyle w:val="Compact"/>
      </w:pPr>
      <w:r>
        <w:t xml:space="preserve">The load profile remains a synthetic, parametrically-shaped generator,</w:t>
      </w:r>
      <w:r>
        <w:t xml:space="preserve"> </w:t>
      </w:r>
      <w:r>
        <w:t xml:space="preserve">not real metered data (unchanged limitation from V1).</w:t>
      </w:r>
    </w:p>
    <w:p>
      <w:pPr>
        <w:numPr>
          <w:ilvl w:val="0"/>
          <w:numId w:val="1004"/>
        </w:numPr>
        <w:pStyle w:val="Compact"/>
      </w:pPr>
      <w:r>
        <w:t xml:space="preserve">The wind power curve remains a generic normalized shape, not a specific</w:t>
      </w:r>
      <w:r>
        <w:t xml:space="preserve"> </w:t>
      </w:r>
      <w:r>
        <w:t xml:space="preserve">manufacturer’s certified curve.</w:t>
      </w:r>
    </w:p>
    <w:p>
      <w:pPr>
        <w:numPr>
          <w:ilvl w:val="0"/>
          <w:numId w:val="1004"/>
        </w:numPr>
        <w:pStyle w:val="Compact"/>
      </w:pPr>
      <w:r>
        <w:t xml:space="preserve">The scenario dataset is single-location, single-weather-year (Jinan,</w:t>
      </w:r>
      <w:r>
        <w:t xml:space="preserve"> </w:t>
      </w:r>
      <w:r>
        <w:t xml:space="preserve">2023); geographic transfer and unseen-weather-year holdout (V1’s</w:t>
      </w:r>
      <w:r>
        <w:t xml:space="preserve"> </w:t>
      </w:r>
      <w:r>
        <w:t xml:space="preserve">Experiments B/C) remain unattempted stretch goals in V2 as well.</w:t>
      </w:r>
    </w:p>
    <w:p>
      <w:pPr>
        <w:numPr>
          <w:ilvl w:val="0"/>
          <w:numId w:val="1004"/>
        </w:numPr>
        <w:pStyle w:val="Compact"/>
      </w:pPr>
      <w:r>
        <w:t xml:space="preserve">The learning curve (§12) shows this model is not data-starved at its</w:t>
      </w:r>
      <w:r>
        <w:t xml:space="preserve"> </w:t>
      </w:r>
      <w:r>
        <w:t xml:space="preserve">current scale — the plateau past ~2,000 scenarios suggests further</w:t>
      </w:r>
      <w:r>
        <w:t xml:space="preserve"> </w:t>
      </w:r>
      <w:r>
        <w:t xml:space="preserve">gains would need better features or a wider training distribution, not</w:t>
      </w:r>
      <w:r>
        <w:t xml:space="preserve"> </w:t>
      </w:r>
      <w:r>
        <w:t xml:space="preserve">simply more scenarios of the same kind.</w:t>
      </w:r>
    </w:p>
    <w:p>
      <w:pPr>
        <w:numPr>
          <w:ilvl w:val="0"/>
          <w:numId w:val="1004"/>
        </w:numPr>
        <w:pStyle w:val="Compact"/>
      </w:pPr>
      <w:r>
        <w:t xml:space="preserve">Permutation importance (§13) measures the</w:t>
      </w:r>
      <w:r>
        <w:t xml:space="preserve"> </w:t>
      </w:r>
      <w:r>
        <w:rPr>
          <w:iCs/>
          <w:i/>
        </w:rPr>
        <w:t xml:space="preserve">trained</w:t>
      </w:r>
      <w:r>
        <w:t xml:space="preserve"> </w:t>
      </w:r>
      <w:r>
        <w:t xml:space="preserve">model’s sensitivity,</w:t>
      </w:r>
      <w:r>
        <w:t xml:space="preserve"> </w:t>
      </w:r>
      <w:r>
        <w:t xml:space="preserve">not a causal claim about which physical quantities matter in general.</w:t>
      </w:r>
    </w:p>
    <w:p>
      <w:pPr>
        <w:numPr>
          <w:ilvl w:val="0"/>
          <w:numId w:val="1004"/>
        </w:numPr>
        <w:pStyle w:val="Compact"/>
      </w:pPr>
      <w:r>
        <w:t xml:space="preserve">Diesel-price cost sensitivity is not explored in either V1 or V2 (§15).</w:t>
      </w:r>
    </w:p>
    <w:p>
      <w:pPr>
        <w:numPr>
          <w:ilvl w:val="0"/>
          <w:numId w:val="1004"/>
        </w:numPr>
        <w:pStyle w:val="Compact"/>
      </w:pPr>
      <w:r>
        <w:t xml:space="preserve">Off-grid physical verification (§14) shows a genuine ~6% undersizing-</w:t>
      </w:r>
      <w:r>
        <w:t xml:space="preserve"> </w:t>
      </w:r>
      <w:r>
        <w:t xml:space="preserve">driven reliability-violation rate on the test split — a real risk any</w:t>
      </w:r>
      <w:r>
        <w:t xml:space="preserve"> </w:t>
      </w:r>
      <w:r>
        <w:t xml:space="preserve">deployment of this model would need to guard against (e.g. by always</w:t>
      </w:r>
      <w:r>
        <w:t xml:space="preserve"> </w:t>
      </w:r>
      <w:r>
        <w:t xml:space="preserve">rounding up with a safety margin, or by treating the NN’s prediction as</w:t>
      </w:r>
      <w:r>
        <w:t xml:space="preserve"> </w:t>
      </w:r>
      <w:r>
        <w:t xml:space="preserve">advisory pending mechanistic confirmation), not a solved problem.</w:t>
      </w:r>
    </w:p>
    <w:bookmarkEnd w:id="66"/>
    <w:bookmarkStart w:id="67" w:name="conclusion"/>
    <w:p>
      <w:pPr>
        <w:pStyle w:val="Heading2"/>
      </w:pPr>
      <w:r>
        <w:t xml:space="preserve">18. Conclusion</w:t>
      </w:r>
    </w:p>
    <w:p>
      <w:pPr>
        <w:pStyle w:val="FirstParagraph"/>
      </w:pPr>
      <w:r>
        <w:t xml:space="preserve">Under V2’s off-grid configuration, with a mechanistic model rewritten to</w:t>
      </w:r>
      <w:r>
        <w:t xml:space="preserve"> </w:t>
      </w:r>
      <w:r>
        <w:t xml:space="preserve">strictly match the course lecture’s exact equations, the neural network</w:t>
      </w:r>
      <w:r>
        <w:t xml:space="preserve"> </w:t>
      </w:r>
      <w:r>
        <w:t xml:space="preserve">reproduces mechanistic battery-sizing decisions closely (R² = 0.993 ±</w:t>
      </w:r>
      <w:r>
        <w:t xml:space="preserve"> </w:t>
      </w:r>
      <w:r>
        <w:t xml:space="preserve">0.002 across ten independent splits) and does so at a genuine, precisely-</w:t>
      </w:r>
      <w:r>
        <w:t xml:space="preserve"> </w:t>
      </w:r>
      <w:r>
        <w:t xml:space="preserve">quantified computational advantage over the full mechanistic search —</w:t>
      </w:r>
      <w:r>
        <w:t xml:space="preserve"> </w:t>
      </w:r>
      <w:r>
        <w:t xml:space="preserve">dramatic when evaluating many scenarios at once, more modest for one-off</w:t>
      </w:r>
      <w:r>
        <w:t xml:space="preserve"> </w:t>
      </w:r>
      <w:r>
        <w:t xml:space="preserve">queries. That accuracy is not free of risk: physical re-verification</w:t>
      </w:r>
      <w:r>
        <w:t xml:space="preserve"> </w:t>
      </w:r>
      <w:r>
        <w:t xml:space="preserve">catches a real ~6% reliability-violation rate among rounded NN</w:t>
      </w:r>
      <w:r>
        <w:t xml:space="preserve"> </w:t>
      </w:r>
      <w:r>
        <w:t xml:space="preserve">predictions, confirming the tested hypothesis that mechanistic</w:t>
      </w:r>
      <w:r>
        <w:t xml:space="preserve"> </w:t>
      </w:r>
      <w:r>
        <w:t xml:space="preserve">verification remains necessary rather than optional. The learning curve</w:t>
      </w:r>
      <w:r>
        <w:t xml:space="preserve"> </w:t>
      </w:r>
      <w:r>
        <w:t xml:space="preserve">indicates the model is well past the point of diminishing returns from</w:t>
      </w:r>
      <w:r>
        <w:t xml:space="preserve"> </w:t>
      </w:r>
      <w:r>
        <w:t xml:space="preserve">more data at its current scale, and permutation importance confirms it</w:t>
      </w:r>
      <w:r>
        <w:t xml:space="preserve"> </w:t>
      </w:r>
      <w:r>
        <w:t xml:space="preserve">has learned physically sensible relationships rather than spurious</w:t>
      </w:r>
      <w:r>
        <w:t xml:space="preserve"> </w:t>
      </w:r>
      <w:r>
        <w:t xml:space="preserve">correlations. Battery cost materially affects system economics</w:t>
      </w:r>
      <w:r>
        <w:t xml:space="preserve"> </w:t>
      </w:r>
      <w:r>
        <w:t xml:space="preserve">(33–45% of total system cost across a realistic price range) without</w:t>
      </w:r>
      <w:r>
        <w:t xml:space="preserve"> </w:t>
      </w:r>
      <w:r>
        <w:t xml:space="preserve">changing which battery size is selected, since off-grid sizing is driven</w:t>
      </w:r>
      <w:r>
        <w:t xml:space="preserve"> </w:t>
      </w:r>
      <w:r>
        <w:t xml:space="preserve">by the reliability constraint alone, not cost.</w:t>
      </w:r>
    </w:p>
    <w:bookmarkEnd w:id="67"/>
    <w:bookmarkStart w:id="85" w:name="X8c728a1bbf85899d2072af3a1ea835cd99e68da"/>
    <w:p>
      <w:pPr>
        <w:pStyle w:val="Heading2"/>
      </w:pPr>
      <w:r>
        <w:t xml:space="preserve">19. Follow-On Demonstration: Switching the Diesel Backup On (Diesel-Hybrid)</w:t>
      </w:r>
    </w:p>
    <w:p>
      <w:pPr>
        <w:pStyle w:val="FirstParagraph"/>
      </w:pPr>
      <w:r>
        <w:rPr>
          <w:bCs/>
          <w:b/>
        </w:rPr>
        <w:t xml:space="preserve">Scope</w:t>
      </w:r>
      <w:r>
        <w:t xml:space="preserve">: a focused, mechanistic-only follow-on to the off-grid study</w:t>
      </w:r>
      <w:r>
        <w:t xml:space="preserve"> </w:t>
      </w:r>
      <w:r>
        <w:t xml:space="preserve">above (§1–§18), added after this report’s initial completion. Does not</w:t>
      </w:r>
      <w:r>
        <w:t xml:space="preserve"> </w:t>
      </w:r>
      <w:r>
        <w:t xml:space="preserve">retrain the neural network or regenerate the full 5,000-scenario dataset</w:t>
      </w:r>
      <w:r>
        <w:t xml:space="preserve"> </w:t>
      </w:r>
      <w:r>
        <w:t xml:space="preserve">— the off-grid dataset, trained model, and every result in §1–§18 above</w:t>
      </w:r>
      <w:r>
        <w:t xml:space="preserve"> </w:t>
      </w:r>
      <w:r>
        <w:t xml:space="preserve">remain untouched and valid, generated under the</w:t>
      </w:r>
      <w:r>
        <w:t xml:space="preserve"> </w:t>
      </w:r>
      <w:r>
        <w:rPr>
          <w:iCs/>
          <w:i/>
        </w:rPr>
        <w:t xml:space="preserve">prior</w:t>
      </w:r>
      <w:r>
        <w:t xml:space="preserve"> </w:t>
      </w:r>
      <w:r>
        <w:t xml:space="preserve">values of</w:t>
      </w:r>
      <w:r>
        <w:t xml:space="preserve"> </w:t>
      </w:r>
      <w:r>
        <w:rPr>
          <w:rStyle w:val="VerbatimChar"/>
        </w:rPr>
        <w:t xml:space="preserve">config/jinan.yaml</w:t>
      </w:r>
      <w:r>
        <w:t xml:space="preserve">/</w:t>
      </w:r>
      <w:r>
        <w:rPr>
          <w:rStyle w:val="VerbatimChar"/>
        </w:rPr>
        <w:t xml:space="preserve">config/scenario_generation.yaml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v2/DIESEL_HYBRID_DEMO.md</w:t>
      </w:r>
      <w:r>
        <w:t xml:space="preserve"> </w:t>
      </w:r>
      <w:r>
        <w:t xml:space="preserve">and in those files’ own comments.</w:t>
      </w:r>
    </w:p>
    <w:bookmarkStart w:id="68" w:name="motivation"/>
    <w:p>
      <w:pPr>
        <w:pStyle w:val="Heading3"/>
      </w:pPr>
      <w:r>
        <w:t xml:space="preserve">19.1 Motivation</w:t>
      </w:r>
    </w:p>
    <w:p>
      <w:pPr>
        <w:pStyle w:val="FirstParagraph"/>
      </w:pPr>
      <w:r>
        <w:t xml:space="preserve">The off-grid study left the diesel generator present in the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src/physics/diesel.py</w:t>
      </w:r>
      <w:r>
        <w:t xml:space="preserve">) but never dispatching: to meet a 99%</w:t>
      </w:r>
      <w:r>
        <w:t xml:space="preserve"> </w:t>
      </w:r>
      <w:r>
        <w:t xml:space="preserve">reliability target with only a small daily-cycling battery, PV and wind</w:t>
      </w:r>
      <w:r>
        <w:t xml:space="preserve"> </w:t>
      </w:r>
      <w:r>
        <w:t xml:space="preserve">had to be massively over-built relative to load (renewable/load ratio</w:t>
      </w:r>
      <w:r>
        <w:t xml:space="preserve"> </w:t>
      </w:r>
      <w:r>
        <w:t xml:space="preserve">~2.6), so roughly</w:t>
      </w:r>
      <w:r>
        <w:t xml:space="preserve"> </w:t>
      </w:r>
      <w:r>
        <w:rPr>
          <w:bCs/>
          <w:b/>
        </w:rPr>
        <w:t xml:space="preserve">60% of all generated renewable energy was curtailed</w:t>
      </w:r>
      <w:r>
        <w:t xml:space="preserve">,</w:t>
      </w:r>
      <w:r>
        <w:t xml:space="preserve"> </w:t>
      </w:r>
      <w:r>
        <w:t xml:space="preserve">and diesel — sized at 1.25× peak load in every configuration — never</w:t>
      </w:r>
      <w:r>
        <w:t xml:space="preserve"> </w:t>
      </w:r>
      <w:r>
        <w:t xml:space="preserve">actually ran. This section switches</w:t>
      </w:r>
      <w:r>
        <w:t xml:space="preserve"> </w:t>
      </w:r>
      <w:r>
        <w:rPr>
          <w:rStyle w:val="VerbatimChar"/>
        </w:rPr>
        <w:t xml:space="preserve">system.backup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"diesel"</w:t>
      </w:r>
      <w:r>
        <w:t xml:space="preserve"> </w:t>
      </w:r>
      <w:r>
        <w:t xml:space="preserve">and</w:t>
      </w:r>
      <w:r>
        <w:t xml:space="preserve"> </w:t>
      </w:r>
      <w:r>
        <w:t xml:space="preserve">raises the baseline load so the diesel backup visibly engages, producing</w:t>
      </w:r>
      <w:r>
        <w:t xml:space="preserve"> </w:t>
      </w:r>
      <w:r>
        <w:t xml:space="preserve">a realistic hybrid PV + wind + battery + diesel system and tracing the</w:t>
      </w:r>
      <w:r>
        <w:t xml:space="preserve"> </w:t>
      </w:r>
      <w:r>
        <w:t xml:space="preserve">classic renewable-share-vs-system-LCOE trade-off curve the course</w:t>
      </w:r>
      <w:r>
        <w:t xml:space="preserve"> </w:t>
      </w:r>
      <w:r>
        <w:t xml:space="preserve">lecture’s OptiCE material describes.</w:t>
      </w:r>
    </w:p>
    <w:bookmarkEnd w:id="68"/>
    <w:bookmarkStart w:id="69" w:name="what-changed"/>
    <w:p>
      <w:pPr>
        <w:pStyle w:val="Heading3"/>
      </w:pPr>
      <w:r>
        <w:t xml:space="preserve">19.2 What changed</w:t>
      </w:r>
    </w:p>
    <w:p>
      <w:pPr>
        <w:pStyle w:val="FirstParagraph"/>
      </w:pPr>
      <w:r>
        <w:rPr>
          <w:rStyle w:val="VerbatimChar"/>
        </w:rPr>
        <w:t xml:space="preserve">config/jinan.yaml</w:t>
      </w:r>
      <w:r>
        <w:t xml:space="preserve">:</w:t>
      </w:r>
      <w:r>
        <w:t xml:space="preserve"> </w:t>
      </w:r>
      <w:r>
        <w:rPr>
          <w:rStyle w:val="VerbatimChar"/>
        </w:rPr>
        <w:t xml:space="preserve">system.backup</w:t>
      </w:r>
      <w:r>
        <w:t xml:space="preserve"> </w:t>
      </w:r>
      <w:r>
        <w:t xml:space="preserve">(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diesel</w:t>
      </w:r>
      <w:r>
        <w:t xml:space="preserve">), load raised from</w:t>
      </w:r>
      <w:r>
        <w:t xml:space="preserve"> </w:t>
      </w:r>
      <w:r>
        <w:t xml:space="preserve">1.6 to</w:t>
      </w:r>
      <w:r>
        <w:t xml:space="preserve"> </w:t>
      </w:r>
      <w:r>
        <w:rPr>
          <w:bCs/>
          <w:b/>
        </w:rPr>
        <w:t xml:space="preserve">4.5 GWh/year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1,200 kW</w:t>
      </w:r>
      <w:r>
        <w:t xml:space="preserve"> </w:t>
      </w:r>
      <w:r>
        <w:t xml:space="preserve">peak (PV 1,800 kWp and wind</w:t>
      </w:r>
      <w:r>
        <w:t xml:space="preserve"> </w:t>
      </w:r>
      <w:r>
        <w:t xml:space="preserve">1,450 kW unchanged — only load was raised).</w:t>
      </w:r>
      <w:r>
        <w:t xml:space="preserve"> </w:t>
      </w:r>
      <w:r>
        <w:rPr>
          <w:rStyle w:val="VerbatimChar"/>
        </w:rPr>
        <w:t xml:space="preserve">config/scenario_generation.yaml</w:t>
      </w:r>
      <w:r>
        <w:t xml:space="preserve">:</w:t>
      </w:r>
      <w:r>
        <w:t xml:space="preserve"> </w:t>
      </w:r>
      <w:r>
        <w:t xml:space="preserve">sampling ranges for</w:t>
      </w:r>
      <w:r>
        <w:t xml:space="preserve"> </w:t>
      </w:r>
      <w:r>
        <w:rPr>
          <w:rStyle w:val="VerbatimChar"/>
        </w:rPr>
        <w:t xml:space="preserve">annual_load_kwh</w:t>
      </w:r>
      <w:r>
        <w:t xml:space="preserve">/</w:t>
      </w:r>
      <w:r>
        <w:rPr>
          <w:rStyle w:val="VerbatimChar"/>
        </w:rPr>
        <w:t xml:space="preserve">peak_load_kw</w:t>
      </w:r>
      <w:r>
        <w:t xml:space="preserve"> </w:t>
      </w:r>
      <w:r>
        <w:t xml:space="preserve">widened to bracket</w:t>
      </w:r>
      <w:r>
        <w:t xml:space="preserve"> </w:t>
      </w:r>
      <w:r>
        <w:t xml:space="preserve">the new baseline, for a possible future full-dataset regeneration (not</w:t>
      </w:r>
      <w:r>
        <w:t xml:space="preserve"> </w:t>
      </w:r>
      <w:r>
        <w:t xml:space="preserve">done as part of this demonstration).</w:t>
      </w:r>
    </w:p>
    <w:p>
      <w:pPr>
        <w:pStyle w:val="BodyText"/>
      </w:pPr>
      <w:r>
        <w:t xml:space="preserve">The originally-targeted 3.0–3.5 GWh/year (renewable/load ratio ~1.2) was</w:t>
      </w:r>
      <w:r>
        <w:t xml:space="preserve"> </w:t>
      </w:r>
      <w:r>
        <w:t xml:space="preserve">tested first and gave only 11–16% diesel share — too faint a</w:t>
      </w:r>
      <w:r>
        <w:t xml:space="preserve"> </w:t>
      </w:r>
      <w:r>
        <w:t xml:space="preserve">demonstration. Six load levels were tested empirically against the actual</w:t>
      </w:r>
      <w:r>
        <w:t xml:space="preserve"> </w:t>
      </w:r>
      <w:r>
        <w:t xml:space="preserve">LCOE-optimal battery search (renewable share depends on hourly timing, not</w:t>
      </w:r>
      <w:r>
        <w:t xml:space="preserve"> </w:t>
      </w:r>
      <w:r>
        <w:t xml:space="preserve">just the annual ratio, so this had to be checked by running the optimizer,</w:t>
      </w:r>
      <w:r>
        <w:t xml:space="preserve"> </w:t>
      </w:r>
      <w:r>
        <w:t xml:space="preserve">not assumed):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Annual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Renewable/load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 GWh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 GWh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933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 GWh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1,066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4.5 GWh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1,199 kW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74.1%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 GWh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1,333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30.6%</w:t>
            </w:r>
          </w:p>
        </w:tc>
      </w:tr>
    </w:tbl>
    <w:p>
      <w:pPr>
        <w:pStyle w:val="BodyText"/>
      </w:pPr>
      <w:r>
        <w:t xml:space="preserve">4.5 GWh/year was chosen as a clean, mid-window value.</w:t>
      </w:r>
    </w:p>
    <w:bookmarkEnd w:id="69"/>
    <w:bookmarkStart w:id="76" w:name="results"/>
    <w:p>
      <w:pPr>
        <w:pStyle w:val="Heading3"/>
      </w:pPr>
      <w:r>
        <w:t xml:space="preserve">19.3 Results</w:t>
      </w:r>
    </w:p>
    <w:p>
      <w:pPr>
        <w:pStyle w:val="FirstParagraph"/>
      </w:pPr>
      <w:r>
        <w:t xml:space="preserve">Computed by</w:t>
      </w:r>
      <w:r>
        <w:t xml:space="preserve"> </w:t>
      </w:r>
      <w:r>
        <w:rPr>
          <w:rStyle w:val="VerbatimChar"/>
        </w:rPr>
        <w:t xml:space="preserve">scripts/diesel_hybrid_demo.py</w:t>
      </w:r>
      <w:r>
        <w:t xml:space="preserve"> </w:t>
      </w:r>
      <w:r>
        <w:t xml:space="preserve">(a real run, not projected):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LCOE-optimal 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modules · 6,000 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LCOE at optimum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0.288 EUR/kWh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Renewable share / diesel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74.1% / 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Curtailment (of generated renewable energy)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18.4% (down from ~60% off-grid)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 operating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3,250 / 8,760 (37.1% of the 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 fuel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683,550 L/year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 capacity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 (diesel guarantees reliability by construction)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balance residual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 kWh (verified exactly, every hour)</w:t>
            </w:r>
          </w:p>
        </w:tc>
      </w:tr>
    </w:tbl>
    <w:p>
      <w:pPr>
        <w:pStyle w:val="CaptionedFigure"/>
      </w:pPr>
      <w:r>
        <w:drawing>
          <wp:inline>
            <wp:extent cx="5334000" cy="3090701"/>
            <wp:effectExtent b="0" l="0" r="0" t="0"/>
            <wp:docPr descr="Diesel engaging during a low-renewable week (Dec 25-31, 2023): renewables dip well below load, battery SOC sits near its floor almost the entire time, diesel fills the gap for most hours" title="" id="71" name="Picture"/>
            <a:graphic>
              <a:graphicData uri="http://schemas.openxmlformats.org/drawingml/2006/picture">
                <pic:pic>
                  <pic:nvPicPr>
                    <pic:cNvPr descr="../outputs/figures/11_diesel_engagement_week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0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Diesel engaging during a low-renewable week (Dec 25-31, 2023): renewables dip well below load, battery SOC sits near its floor almost the entire time, diesel fills the gap for most hours</w:t>
      </w:r>
    </w:p>
    <w:p>
      <w:pPr>
        <w:pStyle w:val="CaptionedFigure"/>
      </w:pPr>
      <w:r>
        <w:drawing>
          <wp:inline>
            <wp:extent cx="4951216" cy="5403828"/>
            <wp:effectExtent b="0" l="0" r="0" t="0"/>
            <wp:docPr descr="Annual energy-flow balance with diesel backup: renewable production (direct supply + battery charge + curtailed) and load service (direct supply + battery discharge + diesel), zero still-unserved" title="" id="74" name="Picture"/>
            <a:graphic>
              <a:graphicData uri="http://schemas.openxmlformats.org/drawingml/2006/picture">
                <pic:pic>
                  <pic:nvPicPr>
                    <pic:cNvPr descr="../outputs/figures/12_energy_flow_balance_diesel_hybrid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216" cy="5403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Annual energy-flow balance with diesel backup: renewable production (direct supply + battery charge + curtailed) and load service (direct supply + battery discharge + diesel), zero still-unserved</w:t>
      </w:r>
    </w:p>
    <w:p>
      <w:pPr>
        <w:pStyle w:val="BodyText"/>
      </w:pPr>
      <w:r>
        <w:t xml:space="preserve">Energy balance was verified exactly:</w:t>
      </w:r>
      <w:r>
        <w:t xml:space="preserve"> </w:t>
      </w:r>
      <w:r>
        <w:rPr>
          <w:rStyle w:val="VerbatimChar"/>
        </w:rPr>
        <w:t xml:space="preserve">load_kw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direct_supply_kwh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battery_discharge_kwh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diesel_output_kwh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still_unserved_kwh</w:t>
      </w:r>
      <w:r>
        <w:t xml:space="preserve">,</w:t>
      </w:r>
      <w:r>
        <w:t xml:space="preserve"> </w:t>
      </w:r>
      <w:r>
        <w:t xml:space="preserve">every hour of the 8,760-hour year, annual residual 0.0 kWh. A new</w:t>
      </w:r>
      <w:r>
        <w:t xml:space="preserve"> </w:t>
      </w:r>
      <w:r>
        <w:t xml:space="preserve">parametrized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tests/test_energy_balance.py::test_load_side_balance_holds_every_hour_with_diesel_backup</w:t>
      </w:r>
      <w:r>
        <w:t xml:space="preserve">)</w:t>
      </w:r>
      <w:r>
        <w:t xml:space="preserve"> </w:t>
      </w:r>
      <w:r>
        <w:t xml:space="preserve">covers this for battery sizes 0/1/3/8 modules; the full suite (177 tests)</w:t>
      </w:r>
      <w:r>
        <w:t xml:space="preserve"> </w:t>
      </w:r>
      <w:r>
        <w:t xml:space="preserve">passes.</w:t>
      </w:r>
    </w:p>
    <w:bookmarkEnd w:id="76"/>
    <w:bookmarkStart w:id="83" w:name="Xfabd80cd0f304c5d7696e10c4089d2e93901949"/>
    <w:p>
      <w:pPr>
        <w:pStyle w:val="Heading3"/>
      </w:pPr>
      <w:r>
        <w:t xml:space="preserve">19.4 Where does more battery stop paying for itself?</w:t>
      </w:r>
    </w:p>
    <w:p>
      <w:pPr>
        <w:pStyle w:val="FirstParagraph"/>
      </w:pPr>
      <w:r>
        <w:t xml:space="preserve">The full 0–80-module candidate sweep traces a clean U-shaped</w:t>
      </w:r>
      <w:r>
        <w:t xml:space="preserve"> </w:t>
      </w:r>
      <w:r>
        <w:t xml:space="preserve">(backward-bending) curve, exactly the OptiCE</w:t>
      </w:r>
      <w:r>
        <w:t xml:space="preserve"> </w:t>
      </w:r>
      <w:r>
        <w:t xml:space="preserve">“</w:t>
      </w:r>
      <w:r>
        <w:t xml:space="preserve">renewable share vs. LCOE</w:t>
      </w:r>
      <w:r>
        <w:t xml:space="preserve">”</w:t>
      </w:r>
      <w:r>
        <w:t xml:space="preserve"> </w:t>
      </w:r>
      <w:r>
        <w:t xml:space="preserve">shape the course lecture material describes: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LCOE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Diesel-only (no battery)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 EUR/kWh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LCOE-minimizing (the search’s own optimum)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6,000 kWh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0.288 EUR/kWh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tested 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0.374 EUR/kWh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80.4%</w:t>
            </w:r>
          </w:p>
        </w:tc>
      </w:tr>
    </w:tbl>
    <w:p>
      <w:pPr>
        <w:pStyle w:val="CaptionedFigure"/>
      </w:pPr>
      <w:r>
        <w:drawing>
          <wp:inline>
            <wp:extent cx="5334000" cy="3980798"/>
            <wp:effectExtent b="0" l="0" r="0" t="0"/>
            <wp:docPr descr="Renewable share vs. system LCOE across the full 0-80 module candidate sweep, sweet spot marked at the minimum-LCOE point" title="" id="78" name="Picture"/>
            <a:graphic>
              <a:graphicData uri="http://schemas.openxmlformats.org/drawingml/2006/picture">
                <pic:pic>
                  <pic:nvPicPr>
                    <pic:cNvPr descr="../outputs/figures/13_renewable_share_vs_lco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Renewable share vs. system LCOE across the full 0-80 module candidate sweep, sweet spot marked at the minimum-LCOE point</w:t>
      </w:r>
    </w:p>
    <w:p>
      <w:pPr>
        <w:pStyle w:val="CaptionedFigure"/>
      </w:pPr>
      <w:r>
        <w:drawing>
          <wp:inline>
            <wp:extent cx="5334000" cy="3303929"/>
            <wp:effectExtent b="0" l="0" r="0" t="0"/>
            <wp:docPr descr="Battery capacity vs. system LCOE, same sweep: a clean U-shape with the minimum at 6,000 kWh" title="" id="81" name="Picture"/>
            <a:graphic>
              <a:graphicData uri="http://schemas.openxmlformats.org/drawingml/2006/picture">
                <pic:pic>
                  <pic:nvPicPr>
                    <pic:cNvPr descr="../outputs/figures/14_battery_capacity_vs_lco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Battery capacity vs. system LCOE, same sweep: a clean U-shape with the minimum at 6,000 kWh</w:t>
      </w:r>
    </w:p>
    <w:p>
      <w:pPr>
        <w:pStyle w:val="BodyText"/>
      </w:pPr>
      <w:r>
        <w:t xml:space="preserve">Starting from diesel-only, each added battery module saves more in diesel</w:t>
      </w:r>
      <w:r>
        <w:t xml:space="preserve"> </w:t>
      </w:r>
      <w:r>
        <w:t xml:space="preserve">fuel than it costs in capital — system LCOE falls 17% (0.346 → 0.288</w:t>
      </w:r>
      <w:r>
        <w:t xml:space="preserve"> </w:t>
      </w:r>
      <w:r>
        <w:t xml:space="preserve">EUR/kWh) as renewable share climbs from 50.9% to 74.1%. Past 24 modules,</w:t>
      </w:r>
      <w:r>
        <w:t xml:space="preserve"> </w:t>
      </w:r>
      <w:r>
        <w:t xml:space="preserve">the relationship flips: each additional module’s capital cost now exceeds</w:t>
      </w:r>
      <w:r>
        <w:t xml:space="preserve"> </w:t>
      </w:r>
      <w:r>
        <w:t xml:space="preserve">what it saves in fuel, because the</w:t>
      </w:r>
      <w:r>
        <w:t xml:space="preserve"> </w:t>
      </w:r>
      <w:r>
        <w:rPr>
          <w:iCs/>
          <w:i/>
        </w:rPr>
        <w:t xml:space="preserve">marginal</w:t>
      </w:r>
      <w:r>
        <w:t xml:space="preserve"> </w:t>
      </w:r>
      <w:r>
        <w:t xml:space="preserve">battery capacity is mostly</w:t>
      </w:r>
      <w:r>
        <w:t xml:space="preserve"> </w:t>
      </w:r>
      <w:r>
        <w:t xml:space="preserve">covering rarer and rarer high-deficit hours rather than displacing routine</w:t>
      </w:r>
      <w:r>
        <w:t xml:space="preserve"> </w:t>
      </w:r>
      <w:r>
        <w:t xml:space="preserve">diesel runtime. Pushing all the way to the 80-module cap buys only another</w:t>
      </w:r>
      <w:r>
        <w:t xml:space="preserve"> </w:t>
      </w:r>
      <w:r>
        <w:t xml:space="preserve">6.3 percentage points of renewable share (74.1% → 80.4%) but costs 30%</w:t>
      </w:r>
      <w:r>
        <w:t xml:space="preserve"> </w:t>
      </w:r>
      <w:r>
        <w:t xml:space="preserve">more (0.374 EUR/kWh) than the optimum — a much worse trade than the first</w:t>
      </w:r>
      <w:r>
        <w:t xml:space="preserve"> </w:t>
      </w:r>
      <w:r>
        <w:t xml:space="preserve">24 modules delivered.</w:t>
      </w:r>
    </w:p>
    <w:p>
      <w:pPr>
        <w:pStyle w:val="BodyText"/>
      </w:pPr>
      <w:r>
        <w:rPr>
          <w:bCs/>
          <w:b/>
        </w:rPr>
        <w:t xml:space="preserve">Answer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at which point is renewable share beneficial, and at what</w:t>
      </w:r>
      <w:r>
        <w:rPr>
          <w:bCs/>
          <w:b/>
        </w:rPr>
        <w:t xml:space="preserve"> </w:t>
      </w:r>
      <w:r>
        <w:rPr>
          <w:bCs/>
          <w:b/>
        </w:rPr>
        <w:t xml:space="preserve">level does it become expensive</w:t>
      </w:r>
      <w:r>
        <w:rPr>
          <w:bCs/>
          <w:b/>
        </w:rPr>
        <w:t xml:space="preserve">”</w:t>
      </w:r>
      <w:r>
        <w:rPr>
          <w:bCs/>
          <w:b/>
        </w:rPr>
        <w:t xml:space="preserve">: renewable share is worth paying for up to</w:t>
      </w:r>
      <w:r>
        <w:rPr>
          <w:bCs/>
          <w:b/>
        </w:rPr>
        <w:t xml:space="preserve"> </w:t>
      </w:r>
      <w:r>
        <w:rPr>
          <w:bCs/>
          <w:b/>
        </w:rPr>
        <w:t xml:space="preserve">~74% in this system; beyond that, each additional percentage point of</w:t>
      </w:r>
      <w:r>
        <w:rPr>
          <w:bCs/>
          <w:b/>
        </w:rPr>
        <w:t xml:space="preserve"> </w:t>
      </w:r>
      <w:r>
        <w:rPr>
          <w:bCs/>
          <w:b/>
        </w:rPr>
        <w:t xml:space="preserve">renewable share costs markedly more per kWh delivered.</w:t>
      </w:r>
    </w:p>
    <w:bookmarkEnd w:id="83"/>
    <w:bookmarkStart w:id="84" w:name="what-this-does-not-do"/>
    <w:p>
      <w:pPr>
        <w:pStyle w:val="Heading3"/>
      </w:pPr>
      <w:r>
        <w:t xml:space="preserve">19.5 What this does not do</w:t>
      </w:r>
    </w:p>
    <w:p>
      <w:pPr>
        <w:pStyle w:val="FirstParagraph"/>
      </w:pPr>
      <w:r>
        <w:t xml:space="preserve">The off-grid dataset (4,526/5,000 feasible scenarios), the trained neural</w:t>
      </w:r>
      <w:r>
        <w:t xml:space="preserve"> </w:t>
      </w:r>
      <w:r>
        <w:t xml:space="preserve">network, and every number in §1–§18 above are untouched — they remain</w:t>
      </w:r>
      <w:r>
        <w:t xml:space="preserve"> </w:t>
      </w:r>
      <w:r>
        <w:t xml:space="preserve">valid results of the completed off-grid study, generated under that</w:t>
      </w:r>
      <w:r>
        <w:t xml:space="preserve"> </w:t>
      </w:r>
      <w:r>
        <w:t xml:space="preserve">study’s own configuration values, not this section’s. No new full-scale</w:t>
      </w:r>
      <w:r>
        <w:t xml:space="preserve"> </w:t>
      </w:r>
      <w:r>
        <w:t xml:space="preserve">scenario dataset was generated under the diesel-hybrid ranges, and the</w:t>
      </w:r>
      <w:r>
        <w:t xml:space="preserve"> </w:t>
      </w:r>
      <w:r>
        <w:t xml:space="preserve">neural network was not retrained on one; both remain explicitly deferred</w:t>
      </w:r>
      <w:r>
        <w:t xml:space="preserve"> </w:t>
      </w:r>
      <w:r>
        <w:t xml:space="preserve">follow-up work. See</w:t>
      </w:r>
      <w:r>
        <w:t xml:space="preserve"> </w:t>
      </w:r>
      <w:r>
        <w:rPr>
          <w:rStyle w:val="VerbatimChar"/>
        </w:rPr>
        <w:t xml:space="preserve">v2/DIESEL_HYBRID_DEMO.md</w:t>
      </w:r>
      <w:r>
        <w:t xml:space="preserve"> </w:t>
      </w:r>
      <w:r>
        <w:t xml:space="preserve">for the complete write-up,</w:t>
      </w:r>
      <w:r>
        <w:t xml:space="preserve"> </w:t>
      </w:r>
      <w:r>
        <w:t xml:space="preserve">including the full six-load-level sweep and reproduction instructions.</w:t>
      </w:r>
    </w:p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0" Target="media/rId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2026-07-22T20:49:08Z</dcterms:created>
  <dcterms:modified xsi:type="dcterms:W3CDTF">2026-07-22T20:49:08Z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