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E2CA4">
      <w:pPr>
        <w:spacing w:before="0" w:after="80" w:line="300" w:lineRule="auto"/>
        <w:jc w:val="center"/>
        <w:rPr>
          <w:rFonts w:hint="eastAsia" w:ascii="宋体" w:hAnsi="宋体" w:eastAsia="宋体" w:cs="宋体"/>
          <w:b/>
          <w:bCs w:val="0"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color w:val="auto"/>
          <w:sz w:val="52"/>
        </w:rPr>
        <w:t>西藏旅游系统</w:t>
      </w:r>
    </w:p>
    <w:p w14:paraId="3A333BC3">
      <w:pPr>
        <w:spacing w:before="0" w:after="280" w:line="300" w:lineRule="auto"/>
        <w:jc w:val="center"/>
        <w:rPr>
          <w:rFonts w:hint="eastAsia" w:ascii="宋体" w:hAnsi="宋体" w:eastAsia="宋体" w:cs="宋体"/>
          <w:b/>
          <w:bCs w:val="0"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color w:val="auto"/>
          <w:sz w:val="40"/>
        </w:rPr>
        <w:t>系统操作手册</w:t>
      </w:r>
    </w:p>
    <w:p w14:paraId="22ED9B1C">
      <w:pPr>
        <w:spacing w:before="0" w:after="520" w:line="30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3"/>
        </w:rPr>
        <w:t>适用于前台游客、注册用户与后台管理员的部署、使用和维护操作说明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74CDBC7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</w:tcPr>
          <w:p w14:paraId="073E6B3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7260" w:type="dxa"/>
          </w:tcPr>
          <w:p w14:paraId="5FA6DD8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西藏旅游系统</w:t>
            </w:r>
          </w:p>
        </w:tc>
      </w:tr>
      <w:tr w14:paraId="649305E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</w:tcPr>
          <w:p w14:paraId="2045607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系统类型</w:t>
            </w:r>
          </w:p>
        </w:tc>
        <w:tc>
          <w:tcPr>
            <w:tcW w:w="7260" w:type="dxa"/>
          </w:tcPr>
          <w:p w14:paraId="0B0A383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西藏旅游信息、路线规划、酒店预订与内容管理 Web 系统</w:t>
            </w:r>
          </w:p>
        </w:tc>
      </w:tr>
      <w:tr w14:paraId="2983C03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</w:tcPr>
          <w:p w14:paraId="1C5B9AC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技术架构</w:t>
            </w:r>
          </w:p>
        </w:tc>
        <w:tc>
          <w:tcPr>
            <w:tcW w:w="7260" w:type="dxa"/>
          </w:tcPr>
          <w:p w14:paraId="74BE8AC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Spring Boot 3.2 + Vue 3 + MySQL + Redis + Docker Compose</w:t>
            </w:r>
          </w:p>
        </w:tc>
      </w:tr>
      <w:tr w14:paraId="6AE938F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</w:tcPr>
          <w:p w14:paraId="0135053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7260" w:type="dxa"/>
          </w:tcPr>
          <w:p w14:paraId="68BD6B3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游客、注册用户、管理员、部署与运维人员</w:t>
            </w:r>
          </w:p>
        </w:tc>
      </w:tr>
      <w:tr w14:paraId="3A646AF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</w:tcPr>
          <w:p w14:paraId="210622D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编写日期</w:t>
            </w:r>
          </w:p>
        </w:tc>
        <w:tc>
          <w:tcPr>
            <w:tcW w:w="7260" w:type="dxa"/>
          </w:tcPr>
          <w:p w14:paraId="6C8F066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2026年5月27日</w:t>
            </w:r>
          </w:p>
        </w:tc>
      </w:tr>
    </w:tbl>
    <w:p w14:paraId="58576DAE">
      <w:pPr>
        <w:rPr>
          <w:rFonts w:hint="eastAsia" w:ascii="宋体" w:hAnsi="宋体" w:eastAsia="宋体" w:cs="宋体"/>
          <w:color w:val="auto"/>
        </w:rPr>
      </w:pPr>
    </w:p>
    <w:p w14:paraId="593FF2CC">
      <w:pPr>
        <w:rPr>
          <w:rFonts w:hint="eastAsia" w:ascii="宋体" w:hAnsi="宋体" w:eastAsia="宋体" w:cs="宋体"/>
          <w:color w:val="auto"/>
        </w:rPr>
      </w:pPr>
    </w:p>
    <w:p w14:paraId="10F10095">
      <w:pPr>
        <w:rPr>
          <w:rFonts w:hint="eastAsia" w:ascii="宋体" w:hAnsi="宋体" w:eastAsia="宋体" w:cs="宋体"/>
          <w:color w:val="auto"/>
        </w:rPr>
      </w:pPr>
    </w:p>
    <w:p w14:paraId="507707D1">
      <w:pPr>
        <w:rPr>
          <w:rFonts w:hint="eastAsia" w:ascii="宋体" w:hAnsi="宋体" w:eastAsia="宋体" w:cs="宋体"/>
          <w:color w:val="auto"/>
        </w:rPr>
      </w:pPr>
      <w:bookmarkStart w:id="0" w:name="_GoBack"/>
      <w:bookmarkEnd w:id="0"/>
    </w:p>
    <w:p w14:paraId="2085153D">
      <w:pPr>
        <w:rPr>
          <w:rFonts w:hint="eastAsia" w:ascii="宋体" w:hAnsi="宋体" w:eastAsia="宋体" w:cs="宋体"/>
          <w:color w:val="auto"/>
        </w:rPr>
      </w:pPr>
    </w:p>
    <w:p w14:paraId="4CE061D9">
      <w:pPr>
        <w:rPr>
          <w:rFonts w:hint="eastAsia" w:ascii="宋体" w:hAnsi="宋体" w:eastAsia="宋体" w:cs="宋体"/>
          <w:color w:val="auto"/>
        </w:rPr>
      </w:pPr>
    </w:p>
    <w:p w14:paraId="2A122E4A">
      <w:pPr>
        <w:rPr>
          <w:rFonts w:hint="eastAsia" w:ascii="宋体" w:hAnsi="宋体" w:eastAsia="宋体" w:cs="宋体"/>
          <w:color w:val="auto"/>
        </w:rPr>
      </w:pPr>
    </w:p>
    <w:p w14:paraId="6E48D4B0">
      <w:pPr>
        <w:rPr>
          <w:rFonts w:hint="eastAsia" w:ascii="宋体" w:hAnsi="宋体" w:eastAsia="宋体" w:cs="宋体"/>
          <w:color w:val="auto"/>
        </w:rPr>
      </w:pPr>
    </w:p>
    <w:p w14:paraId="1ED7DE62">
      <w:pPr>
        <w:rPr>
          <w:rFonts w:hint="eastAsia" w:ascii="宋体" w:hAnsi="宋体" w:eastAsia="宋体" w:cs="宋体"/>
          <w:color w:val="auto"/>
        </w:rPr>
      </w:pPr>
    </w:p>
    <w:p w14:paraId="6410CF4B">
      <w:pPr>
        <w:rPr>
          <w:rFonts w:hint="eastAsia" w:ascii="宋体" w:hAnsi="宋体" w:eastAsia="宋体" w:cs="宋体"/>
          <w:color w:val="auto"/>
        </w:rPr>
      </w:pPr>
    </w:p>
    <w:p w14:paraId="380EC139">
      <w:pPr>
        <w:rPr>
          <w:rFonts w:hint="eastAsia" w:ascii="宋体" w:hAnsi="宋体" w:eastAsia="宋体" w:cs="宋体"/>
          <w:color w:val="auto"/>
        </w:rPr>
      </w:pPr>
    </w:p>
    <w:p w14:paraId="1B9599B7">
      <w:pPr>
        <w:rPr>
          <w:rFonts w:hint="eastAsia" w:ascii="宋体" w:hAnsi="宋体" w:eastAsia="宋体" w:cs="宋体"/>
          <w:color w:val="auto"/>
        </w:rPr>
      </w:pPr>
    </w:p>
    <w:p w14:paraId="6906D7BA">
      <w:pPr>
        <w:rPr>
          <w:rFonts w:hint="eastAsia" w:ascii="宋体" w:hAnsi="宋体" w:eastAsia="宋体" w:cs="宋体"/>
          <w:color w:val="auto"/>
        </w:rPr>
      </w:pPr>
    </w:p>
    <w:p w14:paraId="626DA3C9">
      <w:pPr>
        <w:rPr>
          <w:rFonts w:hint="eastAsia" w:ascii="宋体" w:hAnsi="宋体" w:eastAsia="宋体" w:cs="宋体"/>
          <w:color w:val="auto"/>
        </w:rPr>
      </w:pPr>
    </w:p>
    <w:tbl>
      <w:tblPr>
        <w:tblStyle w:val="32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DFE3A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577C">
            <w:pPr>
              <w:spacing w:before="0" w:after="40" w:line="288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使用说明</w:t>
            </w:r>
          </w:p>
          <w:p w14:paraId="1F5D9F05">
            <w:pPr>
              <w:spacing w:before="0" w:after="0" w:line="288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本手册根据项目当前代码结构、路由入口、接口定义和部署文档编写。实际账号、密钥、域名和端口以部署环境中的 .env 配置和管理员分配信息为准。</w:t>
            </w:r>
          </w:p>
        </w:tc>
      </w:tr>
    </w:tbl>
    <w:p w14:paraId="68CCEDAD">
      <w:pPr>
        <w:rPr>
          <w:rFonts w:hint="eastAsia" w:ascii="宋体" w:hAnsi="宋体" w:eastAsia="宋体" w:cs="宋体"/>
          <w:color w:val="auto"/>
        </w:rPr>
      </w:pPr>
    </w:p>
    <w:p w14:paraId="0FABC87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50819D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1 系统部署流程</w:t>
      </w:r>
    </w:p>
    <w:p w14:paraId="24572DA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七彩西藏采用前后端分离架构。前端由 Vue 3 和 Vite 构建，后端由 Spring Boot 提供 REST API，MySQL 保存业务数据，Redis 用于缓存、会话辅助和限流，Scrapling 微服务用于票价抓取。生产或联调环境推荐使用 Docker Compose 统一启动。</w:t>
      </w:r>
    </w:p>
    <w:p w14:paraId="382CEC1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1.1 环境准备</w:t>
      </w:r>
    </w:p>
    <w:p w14:paraId="0AD0964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部署或开发前，需要先准备运行环境。Windows 本地开发建议使用 PowerShell，并确保 Docker、JDK、Maven、Node.js 等工具可用。</w:t>
      </w: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560"/>
        <w:gridCol w:w="4200"/>
      </w:tblGrid>
      <w:tr w14:paraId="32669CB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9E8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类别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68D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要求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10A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用途</w:t>
            </w:r>
          </w:p>
        </w:tc>
      </w:tr>
      <w:tr w14:paraId="544862E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B98E34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基础环境</w:t>
            </w:r>
          </w:p>
        </w:tc>
        <w:tc>
          <w:tcPr>
            <w:tcW w:w="3560" w:type="dxa"/>
          </w:tcPr>
          <w:p w14:paraId="0A0E1ED0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Windows 10/11、PowerShell、Git</w:t>
            </w:r>
          </w:p>
        </w:tc>
        <w:tc>
          <w:tcPr>
            <w:tcW w:w="4200" w:type="dxa"/>
          </w:tcPr>
          <w:p w14:paraId="12C14F38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拉取代码、执行脚本和维护项目文件</w:t>
            </w:r>
          </w:p>
        </w:tc>
      </w:tr>
      <w:tr w14:paraId="6602399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c>
          <w:tcPr>
            <w:tcW w:w="1600" w:type="dxa"/>
          </w:tcPr>
          <w:p w14:paraId="51E53CB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容器环境</w:t>
            </w:r>
          </w:p>
        </w:tc>
        <w:tc>
          <w:tcPr>
            <w:tcW w:w="3560" w:type="dxa"/>
          </w:tcPr>
          <w:p w14:paraId="2667BA12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/ Docker Compose，建议配合 WSL2</w:t>
            </w:r>
          </w:p>
        </w:tc>
        <w:tc>
          <w:tcPr>
            <w:tcW w:w="4200" w:type="dxa"/>
          </w:tcPr>
          <w:p w14:paraId="4C14C5D4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一键启动前端、后端、MySQL、Redis 和 Scrapling</w:t>
            </w:r>
          </w:p>
        </w:tc>
      </w:tr>
      <w:tr w14:paraId="162DB08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7CF7007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后端开发</w:t>
            </w:r>
          </w:p>
        </w:tc>
        <w:tc>
          <w:tcPr>
            <w:tcW w:w="3560" w:type="dxa"/>
          </w:tcPr>
          <w:p w14:paraId="703DDDCF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JDK 17、Maven 3.9+</w:t>
            </w:r>
          </w:p>
        </w:tc>
        <w:tc>
          <w:tcPr>
            <w:tcW w:w="4200" w:type="dxa"/>
          </w:tcPr>
          <w:p w14:paraId="1DC97675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编译和运行 Spring Boot 后端</w:t>
            </w:r>
          </w:p>
        </w:tc>
      </w:tr>
      <w:tr w14:paraId="566D6E2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ADBE4D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前端开发</w:t>
            </w:r>
          </w:p>
        </w:tc>
        <w:tc>
          <w:tcPr>
            <w:tcW w:w="3560" w:type="dxa"/>
          </w:tcPr>
          <w:p w14:paraId="0A87CDDB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Node.js 20+ 或 22+、npm</w:t>
            </w:r>
          </w:p>
        </w:tc>
        <w:tc>
          <w:tcPr>
            <w:tcW w:w="4200" w:type="dxa"/>
          </w:tcPr>
          <w:p w14:paraId="30201B6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安装依赖、启动 Vite、本地构建前端</w:t>
            </w:r>
          </w:p>
        </w:tc>
      </w:tr>
      <w:tr w14:paraId="441044F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9B6CC0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数据库</w:t>
            </w:r>
          </w:p>
        </w:tc>
        <w:tc>
          <w:tcPr>
            <w:tcW w:w="3560" w:type="dxa"/>
          </w:tcPr>
          <w:p w14:paraId="400C0CD0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MySQL 8.x、Redis 7.x</w:t>
            </w:r>
          </w:p>
        </w:tc>
        <w:tc>
          <w:tcPr>
            <w:tcW w:w="4200" w:type="dxa"/>
          </w:tcPr>
          <w:p w14:paraId="4CB9187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业务数据存储、缓存与限流支持</w:t>
            </w:r>
          </w:p>
        </w:tc>
      </w:tr>
    </w:tbl>
    <w:p w14:paraId="433637B8">
      <w:pPr>
        <w:rPr>
          <w:rFonts w:hint="eastAsia" w:ascii="宋体" w:hAnsi="宋体" w:eastAsia="宋体" w:cs="宋体"/>
          <w:color w:val="auto"/>
        </w:rPr>
      </w:pPr>
    </w:p>
    <w:p w14:paraId="050F4D8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1.2 获取项目并配置环境变量</w:t>
      </w:r>
    </w:p>
    <w:p w14:paraId="1BF6045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将项目代码放置到本地目录，例如 C:\\Users\\Suli\\Desktop\\colorful-tibet。</w:t>
      </w:r>
    </w:p>
    <w:p w14:paraId="59017DD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进入项目根目录，复制 .env.example 为 .env。</w:t>
      </w:r>
    </w:p>
    <w:p w14:paraId="34CE01F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编辑 .env，至少替换所有 change-me、replace-with-* 等占位值。</w:t>
      </w:r>
    </w:p>
    <w:p w14:paraId="2A0186A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确认 SPRING_PROFILES_ACTIVE=local，VITE_API_BASE_URL=/api，并根据本机情况设置端口。</w:t>
      </w:r>
    </w:p>
    <w:p w14:paraId="6D0E8212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生产环境必须使用强随机密钥，不能沿用示例密钥或演示口令。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689D5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CE94">
            <w:pPr>
              <w:spacing w:before="0" w:after="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9"/>
              </w:rPr>
              <w:t>cd C:\\Users\\Suli\\Desktop\\colorful-tibet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Copy-Item .env.example .env</w:t>
            </w:r>
          </w:p>
        </w:tc>
      </w:tr>
    </w:tbl>
    <w:p w14:paraId="0E74892C">
      <w:pPr>
        <w:rPr>
          <w:rFonts w:hint="eastAsia" w:ascii="宋体" w:hAnsi="宋体" w:eastAsia="宋体" w:cs="宋体"/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0634D64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56F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变量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C2D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说明</w:t>
            </w:r>
          </w:p>
        </w:tc>
      </w:tr>
      <w:tr w14:paraId="10BD51C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4ED0DA2C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SPRING_PROFILES_ACTIVE</w:t>
            </w:r>
          </w:p>
        </w:tc>
        <w:tc>
          <w:tcPr>
            <w:tcW w:w="6360" w:type="dxa"/>
          </w:tcPr>
          <w:p w14:paraId="159450CC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运行环境，本地常用 local，生产使用 prod</w:t>
            </w:r>
          </w:p>
        </w:tc>
      </w:tr>
      <w:tr w14:paraId="5097E19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556076B7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VITE_API_BASE_URL</w:t>
            </w:r>
          </w:p>
        </w:tc>
        <w:tc>
          <w:tcPr>
            <w:tcW w:w="6360" w:type="dxa"/>
          </w:tcPr>
          <w:p w14:paraId="1D23FB5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 API 基础路径，默认 /api</w:t>
            </w:r>
          </w:p>
        </w:tc>
      </w:tr>
      <w:tr w14:paraId="272A535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c>
          <w:tcPr>
            <w:tcW w:w="3000" w:type="dxa"/>
          </w:tcPr>
          <w:p w14:paraId="29B23082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MYSQL_* / DB_*</w:t>
            </w:r>
          </w:p>
        </w:tc>
        <w:tc>
          <w:tcPr>
            <w:tcW w:w="6360" w:type="dxa"/>
          </w:tcPr>
          <w:p w14:paraId="6B6727EF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MySQL 数据库名称、账号、密码和端口配置</w:t>
            </w:r>
          </w:p>
        </w:tc>
      </w:tr>
      <w:tr w14:paraId="42A31A0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c>
          <w:tcPr>
            <w:tcW w:w="3000" w:type="dxa"/>
          </w:tcPr>
          <w:p w14:paraId="64BCDAA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REDIS_*</w:t>
            </w:r>
          </w:p>
        </w:tc>
        <w:tc>
          <w:tcPr>
            <w:tcW w:w="6360" w:type="dxa"/>
          </w:tcPr>
          <w:p w14:paraId="1D166AD2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Redis 主机、端口和密码配置</w:t>
            </w:r>
          </w:p>
        </w:tc>
      </w:tr>
      <w:tr w14:paraId="6928FAC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c>
          <w:tcPr>
            <w:tcW w:w="3000" w:type="dxa"/>
          </w:tcPr>
          <w:p w14:paraId="09BDE999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JWT_SECRET / CSRF_SIGNING_SECRET</w:t>
            </w:r>
          </w:p>
        </w:tc>
        <w:tc>
          <w:tcPr>
            <w:tcW w:w="6360" w:type="dxa"/>
          </w:tcPr>
          <w:p w14:paraId="32C3A715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登录令牌签名和 CSRF 防护密钥</w:t>
            </w:r>
          </w:p>
        </w:tc>
      </w:tr>
      <w:tr w14:paraId="7E04383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6DC4970D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PII_KEYS / PII_ACTIVE_KID</w:t>
            </w:r>
          </w:p>
        </w:tc>
        <w:tc>
          <w:tcPr>
            <w:tcW w:w="6360" w:type="dxa"/>
          </w:tcPr>
          <w:p w14:paraId="1D0AF834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敏感信息加密密钥集合和当前 key id</w:t>
            </w:r>
          </w:p>
        </w:tc>
      </w:tr>
      <w:tr w14:paraId="5D55417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16DA35C0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SUPER_ADMIN_USERNAME</w:t>
            </w:r>
          </w:p>
        </w:tc>
        <w:tc>
          <w:tcPr>
            <w:tcW w:w="6360" w:type="dxa"/>
          </w:tcPr>
          <w:p w14:paraId="335D3939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超级管理员用户名，默认配置中常见为 lzh</w:t>
            </w:r>
          </w:p>
        </w:tc>
      </w:tr>
      <w:tr w14:paraId="6DBB8EF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4ABFC872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DOUBAO_API_KEY / ARK_API_KEY</w:t>
            </w:r>
          </w:p>
        </w:tc>
        <w:tc>
          <w:tcPr>
            <w:tcW w:w="6360" w:type="dxa"/>
          </w:tcPr>
          <w:p w14:paraId="7FB694A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AI 路线生成模型接口 Key，需要真实 AI 能力时配置</w:t>
            </w:r>
          </w:p>
        </w:tc>
      </w:tr>
      <w:tr w14:paraId="6CC1F29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c>
          <w:tcPr>
            <w:tcW w:w="3000" w:type="dxa"/>
          </w:tcPr>
          <w:p w14:paraId="18FE75CB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VITE_AMAP_KEY / VITE_AMAP_SECURITY_CODE</w:t>
            </w:r>
          </w:p>
        </w:tc>
        <w:tc>
          <w:tcPr>
            <w:tcW w:w="6360" w:type="dxa"/>
          </w:tcPr>
          <w:p w14:paraId="1620FAB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高德地图前端配置</w:t>
            </w:r>
          </w:p>
        </w:tc>
      </w:tr>
      <w:tr w14:paraId="046C126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c>
          <w:tcPr>
            <w:tcW w:w="3000" w:type="dxa"/>
          </w:tcPr>
          <w:p w14:paraId="51047F59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FRONTEND_HOST_PORT / BACKEND_HOST_PORT</w:t>
            </w:r>
          </w:p>
        </w:tc>
        <w:tc>
          <w:tcPr>
            <w:tcW w:w="6360" w:type="dxa"/>
          </w:tcPr>
          <w:p w14:paraId="6A00FE60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前端和后端对外访问端口</w:t>
            </w:r>
          </w:p>
        </w:tc>
      </w:tr>
    </w:tbl>
    <w:p w14:paraId="0C8EA073">
      <w:pPr>
        <w:rPr>
          <w:rFonts w:hint="eastAsia" w:ascii="宋体" w:hAnsi="宋体" w:eastAsia="宋体" w:cs="宋体"/>
          <w:color w:val="auto"/>
        </w:rPr>
      </w:pPr>
    </w:p>
    <w:p w14:paraId="5B440AC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1.3 Docker Compose 一键启动</w:t>
      </w:r>
    </w:p>
    <w:p w14:paraId="3D61D23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推荐使用项目根目录下的 start.ps1 启动本地完整环境。该脚本会检查 WSL 与 Docker 状态，必要时构建镜像，并等待前端、后端、MySQL、Redis、Scrapling 服务就绪。</w:t>
      </w:r>
    </w:p>
    <w:p w14:paraId="2B5A2F2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打开 PowerShell，进入项目根目录。</w:t>
      </w:r>
    </w:p>
    <w:p w14:paraId="2A22E2B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确认 .env 已配置完成。</w:t>
      </w:r>
    </w:p>
    <w:p w14:paraId="285095E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执行 .\\start.ps1，等待脚本完成构建和健康检查。</w:t>
      </w:r>
    </w:p>
    <w:p w14:paraId="532792D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浏览器访问 http://localhost，进入七彩西藏系统首页。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1F193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9631">
            <w:pPr>
              <w:spacing w:before="0" w:after="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9"/>
              </w:rPr>
              <w:t>cd C:\\Users\\Suli\\Desktop\\colorful-tibet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.\\start.ps1</w:t>
            </w:r>
          </w:p>
        </w:tc>
      </w:tr>
    </w:tbl>
    <w:p w14:paraId="7E6CAC79">
      <w:pPr>
        <w:rPr>
          <w:rFonts w:hint="eastAsia" w:ascii="宋体" w:hAnsi="宋体" w:eastAsia="宋体" w:cs="宋体"/>
          <w:color w:val="auto"/>
        </w:rPr>
      </w:pPr>
    </w:p>
    <w:p w14:paraId="7727328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也可以使用 Docker Compose 手动启动：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8469C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2E07">
            <w:pPr>
              <w:spacing w:before="0" w:after="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9"/>
              </w:rPr>
              <w:t>docker compose config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docker compose up -d --build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docker compose ps</w:t>
            </w:r>
          </w:p>
        </w:tc>
      </w:tr>
    </w:tbl>
    <w:p w14:paraId="14E9901A">
      <w:pPr>
        <w:rPr>
          <w:rFonts w:hint="eastAsia" w:ascii="宋体" w:hAnsi="宋体" w:eastAsia="宋体" w:cs="宋体"/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760"/>
        <w:gridCol w:w="3500"/>
      </w:tblGrid>
      <w:tr w14:paraId="318692F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3C5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服务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358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默认访问地址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03E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用途</w:t>
            </w:r>
          </w:p>
        </w:tc>
      </w:tr>
      <w:tr w14:paraId="71FA98A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B933F1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</w:t>
            </w:r>
          </w:p>
        </w:tc>
        <w:tc>
          <w:tcPr>
            <w:tcW w:w="3760" w:type="dxa"/>
          </w:tcPr>
          <w:p w14:paraId="2DE6AF4A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http://localhost</w:t>
            </w:r>
          </w:p>
        </w:tc>
        <w:tc>
          <w:tcPr>
            <w:tcW w:w="3500" w:type="dxa"/>
          </w:tcPr>
          <w:p w14:paraId="6EA3FC1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用户访问入口，Nginx 托管静态资源并代理 /api</w:t>
            </w:r>
          </w:p>
        </w:tc>
      </w:tr>
      <w:tr w14:paraId="3FC9CBC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CA7667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后端健康检查</w:t>
            </w:r>
          </w:p>
        </w:tc>
        <w:tc>
          <w:tcPr>
            <w:tcW w:w="3760" w:type="dxa"/>
          </w:tcPr>
          <w:p w14:paraId="5D5CB5A8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http://localhost:8080/actuator/health/readiness</w:t>
            </w:r>
          </w:p>
        </w:tc>
        <w:tc>
          <w:tcPr>
            <w:tcW w:w="3500" w:type="dxa"/>
          </w:tcPr>
          <w:p w14:paraId="06C9E40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 Spring Boot 后端是否就绪</w:t>
            </w:r>
          </w:p>
        </w:tc>
      </w:tr>
      <w:tr w14:paraId="5144212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C1B396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Swagger</w:t>
            </w:r>
          </w:p>
        </w:tc>
        <w:tc>
          <w:tcPr>
            <w:tcW w:w="3760" w:type="dxa"/>
          </w:tcPr>
          <w:p w14:paraId="588A669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http://localhost:8080/swagger-ui.html</w:t>
            </w:r>
          </w:p>
        </w:tc>
        <w:tc>
          <w:tcPr>
            <w:tcW w:w="3500" w:type="dxa"/>
          </w:tcPr>
          <w:p w14:paraId="7FEACFB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接口文档，需 PUBLIC_DOCS_ENABLED=true</w:t>
            </w:r>
          </w:p>
        </w:tc>
      </w:tr>
      <w:tr w14:paraId="57D6AAC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91407F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Scrapling</w:t>
            </w:r>
          </w:p>
        </w:tc>
        <w:tc>
          <w:tcPr>
            <w:tcW w:w="3760" w:type="dxa"/>
          </w:tcPr>
          <w:p w14:paraId="5C900515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http://localhost:8000/health</w:t>
            </w:r>
          </w:p>
        </w:tc>
        <w:tc>
          <w:tcPr>
            <w:tcW w:w="3500" w:type="dxa"/>
          </w:tcPr>
          <w:p w14:paraId="6B09DDEB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票价抓取微服务健康检查</w:t>
            </w:r>
          </w:p>
        </w:tc>
      </w:tr>
      <w:tr w14:paraId="525164F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02D58D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MySQL</w:t>
            </w:r>
          </w:p>
        </w:tc>
        <w:tc>
          <w:tcPr>
            <w:tcW w:w="3760" w:type="dxa"/>
          </w:tcPr>
          <w:p w14:paraId="39D2BA59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127.0.0.1:3307</w:t>
            </w:r>
          </w:p>
        </w:tc>
        <w:tc>
          <w:tcPr>
            <w:tcW w:w="3500" w:type="dxa"/>
          </w:tcPr>
          <w:p w14:paraId="49896DE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本地数据库连接地址</w:t>
            </w:r>
          </w:p>
        </w:tc>
      </w:tr>
      <w:tr w14:paraId="0FED083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BCF5FA2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Redis</w:t>
            </w:r>
          </w:p>
        </w:tc>
        <w:tc>
          <w:tcPr>
            <w:tcW w:w="3760" w:type="dxa"/>
          </w:tcPr>
          <w:p w14:paraId="1861C0FE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127.0.0.1:6380</w:t>
            </w:r>
          </w:p>
        </w:tc>
        <w:tc>
          <w:tcPr>
            <w:tcW w:w="3500" w:type="dxa"/>
          </w:tcPr>
          <w:p w14:paraId="6FE0F69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本地 Redis 连接地址</w:t>
            </w:r>
          </w:p>
        </w:tc>
      </w:tr>
    </w:tbl>
    <w:p w14:paraId="77F0C42B">
      <w:pPr>
        <w:rPr>
          <w:rFonts w:hint="eastAsia" w:ascii="宋体" w:hAnsi="宋体" w:eastAsia="宋体" w:cs="宋体"/>
          <w:color w:val="auto"/>
        </w:rPr>
      </w:pPr>
    </w:p>
    <w:p w14:paraId="6458BD9F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1.4 前后端分开调试</w:t>
      </w:r>
    </w:p>
    <w:p w14:paraId="2A00643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日常开发时，可以只用 Docker 启动 MySQL、Redis 和 Scrapling，前端与后端在本机直接运行，便于热更新和断点调试。</w:t>
      </w:r>
    </w:p>
    <w:p w14:paraId="3AD099B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启动基础依赖服务：docker compose up -d mysql redis scrapling。</w:t>
      </w:r>
    </w:p>
    <w:p w14:paraId="34FF971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进入 backend 目录，配置 local profile 和数据库、Redis、密钥等环境变量。</w:t>
      </w:r>
    </w:p>
    <w:p w14:paraId="3EDDAD3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执行 mvn spring-boot:run 启动后端，默认端口为 8080。</w:t>
      </w:r>
    </w:p>
    <w:p w14:paraId="19E3702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进入 frontend 目录，执行 npm install 安装依赖。</w:t>
      </w:r>
    </w:p>
    <w:p w14:paraId="01F8BDC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执行 npm run dev 启动 Vite，默认访问地址为 http://localhost:5173。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14F2B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BEE5">
            <w:pPr>
              <w:spacing w:before="0" w:after="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9"/>
              </w:rPr>
              <w:t>docker compose up -d mysql redis scrapling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cd backend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mvn -q -DskipTests compile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mvn spring-boot:run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cd ..\\frontend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npm install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npm run dev</w:t>
            </w:r>
          </w:p>
        </w:tc>
      </w:tr>
    </w:tbl>
    <w:p w14:paraId="253BC7DA">
      <w:pPr>
        <w:rPr>
          <w:rFonts w:hint="eastAsia" w:ascii="宋体" w:hAnsi="宋体" w:eastAsia="宋体" w:cs="宋体"/>
          <w:color w:val="auto"/>
        </w:rPr>
      </w:pPr>
    </w:p>
    <w:p w14:paraId="1EEEABA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1.5 停止、重启与验证</w:t>
      </w:r>
    </w:p>
    <w:p w14:paraId="722C533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查看容器状态：docker compose ps。</w:t>
      </w:r>
    </w:p>
    <w:p w14:paraId="4692A20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查看后端日志：docker compose logs -f backend。</w:t>
      </w:r>
    </w:p>
    <w:p w14:paraId="75CC07B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查看前端日志：docker compose logs -f frontend。</w:t>
      </w:r>
    </w:p>
    <w:p w14:paraId="3BB6180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停止所有服务：docker compose down。</w:t>
      </w:r>
    </w:p>
    <w:p w14:paraId="66D9055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需要重置本地数据库和 Redis 数据时执行 docker compose down -v，但该命令会删除本地数据卷。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D731E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C557">
            <w:pPr>
              <w:spacing w:before="0" w:after="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9"/>
              </w:rPr>
              <w:t>docker compose logs -f backend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curl.exe http://localhost/health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curl.exe http://localhost:8080/actuator/health/readiness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docker compose down</w:t>
            </w:r>
          </w:p>
        </w:tc>
      </w:tr>
    </w:tbl>
    <w:p w14:paraId="704E290A">
      <w:pPr>
        <w:rPr>
          <w:rFonts w:hint="eastAsia" w:ascii="宋体" w:hAnsi="宋体" w:eastAsia="宋体" w:cs="宋体"/>
          <w:color w:val="auto"/>
        </w:rPr>
      </w:pPr>
    </w:p>
    <w:p w14:paraId="7B497A60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1.6 登录账号与初始密码</w:t>
      </w:r>
    </w:p>
    <w:p w14:paraId="3D86C6D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验收演示环境可使用下表账号登录。这些账号需先在 .env 中开启 SEED_DEMO_USERS=true 并配置对应初始密码，然后由后端 DataSeeder 在空数据库首次启动时创建。</w:t>
      </w: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000"/>
        <w:gridCol w:w="2260"/>
        <w:gridCol w:w="3800"/>
      </w:tblGrid>
      <w:tr w14:paraId="56A897F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E6B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角色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8E2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登录入口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A18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账号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EDE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初始密码 / 二次认证</w:t>
            </w:r>
          </w:p>
        </w:tc>
      </w:tr>
      <w:tr w14:paraId="0B00DBB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35873EA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游客</w:t>
            </w:r>
          </w:p>
        </w:tc>
        <w:tc>
          <w:tcPr>
            <w:tcW w:w="2000" w:type="dxa"/>
          </w:tcPr>
          <w:p w14:paraId="3B50D9E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无需登录</w:t>
            </w:r>
          </w:p>
        </w:tc>
        <w:tc>
          <w:tcPr>
            <w:tcW w:w="2260" w:type="dxa"/>
          </w:tcPr>
          <w:p w14:paraId="7FF418B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无</w:t>
            </w:r>
          </w:p>
        </w:tc>
        <w:tc>
          <w:tcPr>
            <w:tcW w:w="3800" w:type="dxa"/>
          </w:tcPr>
          <w:p w14:paraId="55335B93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无密码，可直接浏览首页、景点、酒店、非遗和新闻等公开内容。</w:t>
            </w:r>
          </w:p>
        </w:tc>
      </w:tr>
      <w:tr w14:paraId="10B7552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9D67FF2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普通用户</w:t>
            </w:r>
          </w:p>
        </w:tc>
        <w:tc>
          <w:tcPr>
            <w:tcW w:w="2000" w:type="dxa"/>
          </w:tcPr>
          <w:p w14:paraId="73BF10D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/login</w:t>
            </w:r>
          </w:p>
        </w:tc>
        <w:tc>
          <w:tcPr>
            <w:tcW w:w="2260" w:type="dxa"/>
          </w:tcPr>
          <w:p w14:paraId="20C0414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user1</w:t>
            </w:r>
          </w:p>
        </w:tc>
        <w:tc>
          <w:tcPr>
            <w:tcW w:w="3800" w:type="dxa"/>
          </w:tcPr>
          <w:p w14:paraId="58E1A93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User@Colorful2026，对应 .env 变量 SEED_DEMO_USER_PASSWORD。</w:t>
            </w:r>
          </w:p>
        </w:tc>
      </w:tr>
      <w:tr w14:paraId="4D05A5D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32279EF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管理员</w:t>
            </w:r>
          </w:p>
        </w:tc>
        <w:tc>
          <w:tcPr>
            <w:tcW w:w="2000" w:type="dxa"/>
          </w:tcPr>
          <w:p w14:paraId="2F1EF377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/login 登录后访问 /admin</w:t>
            </w:r>
          </w:p>
        </w:tc>
        <w:tc>
          <w:tcPr>
            <w:tcW w:w="2260" w:type="dxa"/>
          </w:tcPr>
          <w:p w14:paraId="0027E90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admin</w:t>
            </w:r>
          </w:p>
        </w:tc>
        <w:tc>
          <w:tcPr>
            <w:tcW w:w="3800" w:type="dxa"/>
          </w:tcPr>
          <w:p w14:paraId="4F11FCFC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Admin@Colorful2026，对应 .env 变量 SEED_DEMO_ADMIN_PASSWORD。首次登录后如提示修改初始密码，需先在个人中心完成修改。</w:t>
            </w:r>
          </w:p>
        </w:tc>
      </w:tr>
      <w:tr w14:paraId="777E0D2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0788F54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超级管理员</w:t>
            </w:r>
          </w:p>
        </w:tc>
        <w:tc>
          <w:tcPr>
            <w:tcW w:w="2000" w:type="dxa"/>
          </w:tcPr>
          <w:p w14:paraId="218A880A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/login 登录后访问 /admin</w:t>
            </w:r>
          </w:p>
        </w:tc>
        <w:tc>
          <w:tcPr>
            <w:tcW w:w="2260" w:type="dxa"/>
          </w:tcPr>
          <w:p w14:paraId="5B762E6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lzh</w:t>
            </w:r>
          </w:p>
        </w:tc>
        <w:tc>
          <w:tcPr>
            <w:tcW w:w="3800" w:type="dxa"/>
          </w:tcPr>
          <w:p w14:paraId="38E6421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Lzh@Colorful2026，对应 .env 变量 SEED_DEMO_SUPER_ADMIN_PASSWORD。该账号登录时需输入基于 SUPER_ADMIN_TOTP_SECRET 生成的 TOTP 动态验证码。</w:t>
            </w:r>
          </w:p>
        </w:tc>
      </w:tr>
      <w:tr w14:paraId="378D12A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51C04D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运维人员</w:t>
            </w:r>
          </w:p>
        </w:tc>
        <w:tc>
          <w:tcPr>
            <w:tcW w:w="2000" w:type="dxa"/>
          </w:tcPr>
          <w:p w14:paraId="55F8F7B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服务器文件</w:t>
            </w:r>
          </w:p>
        </w:tc>
        <w:tc>
          <w:tcPr>
            <w:tcW w:w="2260" w:type="dxa"/>
          </w:tcPr>
          <w:p w14:paraId="2FAA250E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/root/colorful-tibet-first-login.txt</w:t>
            </w:r>
          </w:p>
        </w:tc>
        <w:tc>
          <w:tcPr>
            <w:tcW w:w="3800" w:type="dxa"/>
          </w:tcPr>
          <w:p w14:paraId="31ECC63B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使用 deploy-new-server-http.ps1 部署时，脚本会生成 lzh、admin、user1 的首次登录密码和 TOTP 密钥，并保存在该文件中。</w:t>
            </w:r>
          </w:p>
        </w:tc>
      </w:tr>
    </w:tbl>
    <w:p w14:paraId="4BBAA067">
      <w:pPr>
        <w:rPr>
          <w:rFonts w:hint="eastAsia" w:ascii="宋体" w:hAnsi="宋体" w:eastAsia="宋体" w:cs="宋体"/>
          <w:color w:val="auto"/>
        </w:rPr>
      </w:pPr>
    </w:p>
    <w:p w14:paraId="2DE465E0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如需在本地验收环境启用上表固定账号，可在 .env 中加入或修改以下配置：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DDDDC3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0B74">
            <w:pPr>
              <w:spacing w:before="0" w:after="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9"/>
              </w:rPr>
              <w:t>SEED_DEMO_USERS=true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SUPER_ADMIN_USERNAME=lzh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SUPER_ADMIN_TOTP_SECRET=JBSWY3DPEHPK3PXPJBSWY3DPEHPK3PXP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SEED_DEMO_ADMIN_PASSWORD=Admin@Colorful2026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SEED_DEMO_SUPER_ADMIN_PASSWORD=Lzh@Colorful2026</w:t>
            </w:r>
            <w:r>
              <w:rPr>
                <w:rFonts w:hint="eastAsia" w:ascii="宋体" w:hAnsi="宋体" w:eastAsia="宋体" w:cs="宋体"/>
                <w:color w:val="auto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9"/>
              </w:rPr>
              <w:t>SEED_DEMO_USER_PASSWORD=User@Colorful2026</w:t>
            </w:r>
          </w:p>
        </w:tc>
      </w:tr>
    </w:tbl>
    <w:p w14:paraId="28528EA6">
      <w:pPr>
        <w:rPr>
          <w:rFonts w:hint="eastAsia" w:ascii="宋体" w:hAnsi="宋体" w:eastAsia="宋体" w:cs="宋体"/>
          <w:color w:val="auto"/>
        </w:rPr>
      </w:pPr>
    </w:p>
    <w:p w14:paraId="7AC652F7">
      <w:pPr>
        <w:rPr>
          <w:rFonts w:hint="eastAsia" w:ascii="宋体" w:hAnsi="宋体" w:eastAsia="宋体" w:cs="宋体"/>
          <w:color w:val="auto"/>
        </w:rPr>
      </w:pPr>
    </w:p>
    <w:p w14:paraId="6B08EFE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2 游客功能模块</w:t>
      </w:r>
    </w:p>
    <w:p w14:paraId="6BC2252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游客无需登录即可浏览公开内容，包括首页、景点列表、景点详情、非遗文化、新闻资讯、酒店列表、路线社区公开内容等。涉及预订、评论、收藏、发布和个人中心的功能需要先注册并登录。</w:t>
      </w:r>
    </w:p>
    <w:p w14:paraId="16AD456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2.1 首页浏览模块</w:t>
      </w:r>
    </w:p>
    <w:p w14:paraId="1E9F9AA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访问系统首页 http://localhost 或生产环境域名。</w:t>
      </w:r>
    </w:p>
    <w:p w14:paraId="3386773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查看顶部导航栏，可进入景点、AI 路线、社区、酒店、非遗、新闻等页面。</w:t>
      </w:r>
    </w:p>
    <w:p w14:paraId="1D9255E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在首页轮播图区域查看推荐内容，点击图片或按钮可跳转到对应页面。</w:t>
      </w:r>
    </w:p>
    <w:p w14:paraId="7BB957C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浏览首页推荐景点、热门内容和网站底部联系方式。</w:t>
      </w:r>
    </w:p>
    <w:p w14:paraId="50DC3B2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2.2 景点浏览模块</w:t>
      </w:r>
    </w:p>
    <w:p w14:paraId="10682AF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点击导航栏“景点”进入 /spots 页面。</w:t>
      </w:r>
    </w:p>
    <w:p w14:paraId="643A7F7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通过分类按钮切换全部、自然、人文等景点类别。</w:t>
      </w:r>
    </w:p>
    <w:p w14:paraId="323274C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在景点卡片中查看景点名称、图片、票价、标签和简要介绍。</w:t>
      </w:r>
    </w:p>
    <w:p w14:paraId="7DE4A0E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点击景点卡片或“查看详情”进入景点详情页。</w:t>
      </w:r>
    </w:p>
    <w:p w14:paraId="4B3F713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2.3 景点详情与评论浏览模块</w:t>
      </w:r>
    </w:p>
    <w:p w14:paraId="3BCEA6A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进入景点详情页后，查看景点图片、名称、藏文名称、描述、标签、票价和地图信息。</w:t>
      </w:r>
    </w:p>
    <w:p w14:paraId="3A97ADF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向下浏览用户评论，查看评分、评论内容、图片和点赞数量。</w:t>
      </w:r>
    </w:p>
    <w:p w14:paraId="0879F0B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如需发表评论、点赞评论或预订门票，系统会要求先登录。</w:t>
      </w:r>
    </w:p>
    <w:p w14:paraId="0654799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点击地图或导航相关入口，可结合页面提供的位置信息规划行程。</w:t>
      </w:r>
    </w:p>
    <w:p w14:paraId="1636364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2.4 非遗文化浏览模块</w:t>
      </w:r>
    </w:p>
    <w:p w14:paraId="75D4EF4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点击导航栏“非遗”进入 /heritage 页面。</w:t>
      </w:r>
    </w:p>
    <w:p w14:paraId="1F830DE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使用搜索框输入非遗项目名称、类别或地区关键词。</w:t>
      </w:r>
    </w:p>
    <w:p w14:paraId="0D1A564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按类别查看民间文学、传统音乐、传统舞蹈、传统技艺、民俗等内容。</w:t>
      </w:r>
    </w:p>
    <w:p w14:paraId="5FD7ACE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点击项目卡片查看基础介绍、起源故事、文化价值、线下体验点、传承人和活动信息。</w:t>
      </w:r>
    </w:p>
    <w:p w14:paraId="67A09B8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完整故事、评论和互动功能可能需要登录后查看或操作。</w:t>
      </w:r>
    </w:p>
    <w:p w14:paraId="341F281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2.5 新闻资讯模块</w:t>
      </w:r>
    </w:p>
    <w:p w14:paraId="70FE8D0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点击导航栏“新闻”进入 /news 页面。</w:t>
      </w:r>
    </w:p>
    <w:p w14:paraId="0E72DB1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浏览政策、活动、通知等新闻内容。</w:t>
      </w:r>
    </w:p>
    <w:p w14:paraId="576BB2D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点击新闻条目查看详情信息，了解旅游公告、活动安排和平台动态。</w:t>
      </w:r>
    </w:p>
    <w:p w14:paraId="53581BD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2.6 酒店浏览模块</w:t>
      </w:r>
    </w:p>
    <w:p w14:paraId="3B40B80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点击导航栏“酒店”进入 /hotels 页面。</w:t>
      </w:r>
    </w:p>
    <w:p w14:paraId="497D08A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通过关键词、城市和星级筛选酒店。</w:t>
      </w:r>
    </w:p>
    <w:p w14:paraId="0E0D524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在酒店列表中查看酒店图片、地址、价格区间、评分和设施。</w:t>
      </w:r>
    </w:p>
    <w:p w14:paraId="44E3AD8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点击酒店进入详情页，查看房型、价格、可住人数和设施说明。</w:t>
      </w:r>
    </w:p>
    <w:p w14:paraId="538AB3A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点击“预订房型”会进入预订页面，未登录时需先完成登录。</w:t>
      </w:r>
    </w:p>
    <w:p w14:paraId="378230C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3 注册用户功能模块</w:t>
      </w:r>
    </w:p>
    <w:p w14:paraId="0F92FA76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注册用户登录后，可以使用路线生成、路线分享、景点门票预订、酒店预订、收藏、订单中心、个人资料维护、评论和社区问答等功能。</w:t>
      </w:r>
    </w:p>
    <w:p w14:paraId="655C2DE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3.1 注册模块</w:t>
      </w:r>
    </w:p>
    <w:p w14:paraId="633DA32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点击导航栏“注册”或登录页中的“立即注册”。</w:t>
      </w:r>
    </w:p>
    <w:p w14:paraId="5D3F000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填写用户名、昵称、密码和确认密码。</w:t>
      </w:r>
    </w:p>
    <w:p w14:paraId="2C9E159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确认两次输入的密码一致后点击注册按钮。</w:t>
      </w:r>
    </w:p>
    <w:p w14:paraId="23B4A3B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注册成功后跳转到登录页，使用新账号登录系统。</w:t>
      </w:r>
    </w:p>
    <w:p w14:paraId="2A6E25B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3.2 登录模块</w:t>
      </w:r>
    </w:p>
    <w:p w14:paraId="31CA8A0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进入 /login 页面。</w:t>
      </w:r>
    </w:p>
    <w:p w14:paraId="52A3C04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输入用户名和密码，点击登录。</w:t>
      </w:r>
    </w:p>
    <w:p w14:paraId="00239A0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如系统提示需要二次认证或二级密码，按管理员提供的信息填写。</w:t>
      </w:r>
    </w:p>
    <w:p w14:paraId="6A35885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普通用户登录成功后进入首页；管理员登录成功后可进入后台管理页。</w:t>
      </w:r>
    </w:p>
    <w:p w14:paraId="29BF3A0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若账号被要求修改初始密码，系统会引导进入个人中心完成修改。</w:t>
      </w:r>
    </w:p>
    <w:tbl>
      <w:tblPr>
        <w:tblStyle w:val="32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A0266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4E2E">
            <w:pPr>
              <w:spacing w:before="0" w:after="40" w:line="288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账号说明</w:t>
            </w:r>
          </w:p>
          <w:p w14:paraId="5AD64D33">
            <w:pPr>
              <w:spacing w:before="0" w:after="0" w:line="288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本项目不在手册中固定写死默认密码。演示账号是否创建、管理员账号名称和初始密码，均以 .env 中的种子数据配置、数据库记录和管理员实际分配信息为准。</w:t>
            </w:r>
          </w:p>
        </w:tc>
      </w:tr>
    </w:tbl>
    <w:p w14:paraId="21905E30">
      <w:pPr>
        <w:rPr>
          <w:rFonts w:hint="eastAsia" w:ascii="宋体" w:hAnsi="宋体" w:eastAsia="宋体" w:cs="宋体"/>
          <w:color w:val="auto"/>
        </w:rPr>
      </w:pPr>
    </w:p>
    <w:p w14:paraId="5C09945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3.3 AI 路线规划模块</w:t>
      </w:r>
    </w:p>
    <w:p w14:paraId="1D3AADA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点击导航栏“AI 路线”或访问 /route-planner。</w:t>
      </w:r>
    </w:p>
    <w:p w14:paraId="2742225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设置计划天数，系统支持通过加减按钮调整天数。</w:t>
      </w:r>
    </w:p>
    <w:p w14:paraId="66AA6DD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选择预算范围，包括经济、舒适、豪华等选项。</w:t>
      </w:r>
    </w:p>
    <w:p w14:paraId="58E41E9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选择旅行偏好，包括自然风光、人文历史、摄影打卡、休闲疗愈等选项。</w:t>
      </w:r>
    </w:p>
    <w:p w14:paraId="49621CF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也可以使用快速预设，例如自然风光、文化深度、摄影路线、休闲路线。</w:t>
      </w:r>
    </w:p>
    <w:p w14:paraId="69B1915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点击“生成路线”，等待 AI 输出路线内容。</w:t>
      </w:r>
    </w:p>
    <w:p w14:paraId="206E73F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7. 生成完成后，可执行保存路线、下载 Markdown、分享到路线社区等操作。</w:t>
      </w:r>
    </w:p>
    <w:p w14:paraId="59E9102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如果配置了真实模型 Key，系统会调用 AI 生成服务；如果未配置，页面会根据后端兜底逻辑返回提示或示例内容。</w:t>
      </w:r>
    </w:p>
    <w:p w14:paraId="4DE3688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3.4 手动发布路线模块</w:t>
      </w:r>
    </w:p>
    <w:p w14:paraId="69EEC61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进入路线社区页面，点击“创建我的路线”，或访问 /create-route。</w:t>
      </w:r>
    </w:p>
    <w:p w14:paraId="533F6D1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填写路线标题，标题最多 200 个字符。</w:t>
      </w:r>
    </w:p>
    <w:p w14:paraId="571AAC6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选择计划天数、预算范围和偏好类型。</w:t>
      </w:r>
    </w:p>
    <w:p w14:paraId="3A2EA46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在路线内容文本框中填写详细行程安排。</w:t>
      </w:r>
    </w:p>
    <w:p w14:paraId="3FF6359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点击发布按钮，发布成功后路线会进入社区列表。</w:t>
      </w:r>
    </w:p>
    <w:p w14:paraId="1495A5B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3.5 路线社区模块</w:t>
      </w:r>
    </w:p>
    <w:p w14:paraId="063A084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访问 /community 页面。</w:t>
      </w:r>
    </w:p>
    <w:p w14:paraId="276494D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在“共享路线”页签中，可按天数、预算和偏好筛选路线。</w:t>
      </w:r>
    </w:p>
    <w:p w14:paraId="15C8A06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点击路线卡片进入详情页，查看路线内容、浏览量、点赞数和评论。</w:t>
      </w:r>
    </w:p>
    <w:p w14:paraId="1A2DAEA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登录后可以点赞、评论，也可以删除自己发布的路线或评论。</w:t>
      </w:r>
    </w:p>
    <w:p w14:paraId="1B99CB1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在“旅行问答”页签中，可按标签和排序方式筛选问题。</w:t>
      </w:r>
    </w:p>
    <w:p w14:paraId="491F980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点击“我要提问”发布问题，填写标题、内容和标签。</w:t>
      </w:r>
    </w:p>
    <w:p w14:paraId="437C153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7. 进入问题详情后可以回答问题，问题作者可采纳满意答案。</w:t>
      </w:r>
    </w:p>
    <w:p w14:paraId="0F5DCF5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3.6 景点门票预订模块</w:t>
      </w:r>
    </w:p>
    <w:p w14:paraId="191F750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在景点详情页右侧或移动端底部操作栏中找到预订区域。</w:t>
      </w:r>
    </w:p>
    <w:p w14:paraId="17ACBFF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选择游玩日期。</w:t>
      </w:r>
    </w:p>
    <w:p w14:paraId="0F0D6CE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通过加减按钮选择门票数量。</w:t>
      </w:r>
    </w:p>
    <w:p w14:paraId="46AA1B7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确认总金额后点击“确认支付”。</w:t>
      </w:r>
    </w:p>
    <w:p w14:paraId="5470EDD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完成支付弹窗中的支付确认后，系统创建景点门票订单。</w:t>
      </w:r>
    </w:p>
    <w:p w14:paraId="4100B07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订单可在个人中心或订单中心中查看、取消或删除。</w:t>
      </w:r>
    </w:p>
    <w:p w14:paraId="5951A38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3.7 酒店预订模块</w:t>
      </w:r>
    </w:p>
    <w:p w14:paraId="4CD4792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在酒店详情页选择房型，点击“预订此房型”。</w:t>
      </w:r>
    </w:p>
    <w:p w14:paraId="1AE61D5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进入酒店预订页后，选择入住日期和离店日期。</w:t>
      </w:r>
    </w:p>
    <w:p w14:paraId="58B0CF1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选择入住人数。</w:t>
      </w:r>
    </w:p>
    <w:p w14:paraId="68F8196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填写预订人姓名、手机号和备注信息。</w:t>
      </w:r>
    </w:p>
    <w:p w14:paraId="22A6A562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确认房型、入住晚数和总金额。</w:t>
      </w:r>
    </w:p>
    <w:p w14:paraId="7B670CC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点击确认预订并完成支付确认。</w:t>
      </w:r>
    </w:p>
    <w:p w14:paraId="66F3B8B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7. 预订记录可在“酒店订单”或个人中心中查看。</w:t>
      </w:r>
    </w:p>
    <w:p w14:paraId="2D6585E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3.8 收藏模块</w:t>
      </w:r>
    </w:p>
    <w:p w14:paraId="0F13032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在路线详情页点击收藏入口，将路线加入收藏。</w:t>
      </w:r>
    </w:p>
    <w:p w14:paraId="3291729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访问 /favorites 页面查看已收藏路线。</w:t>
      </w:r>
    </w:p>
    <w:p w14:paraId="4425E5C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点击收藏卡片可进入路线详情。</w:t>
      </w:r>
    </w:p>
    <w:p w14:paraId="738EC79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点击“取消收藏”可从收藏列表中移除该路线。</w:t>
      </w:r>
    </w:p>
    <w:p w14:paraId="27DDAA4F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3.9 订单中心模块</w:t>
      </w:r>
    </w:p>
    <w:p w14:paraId="63E4FFB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访问 /orders 页面进入统一订单中心。</w:t>
      </w:r>
    </w:p>
    <w:p w14:paraId="5912F20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通过状态页签查看全部、待支付、已确认、退款中、已关闭等订单。</w:t>
      </w:r>
    </w:p>
    <w:p w14:paraId="7C431DD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使用搜索框按订单号、商品或凭证进行查询。</w:t>
      </w:r>
    </w:p>
    <w:p w14:paraId="450D388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点击订单查看详情，包括商品、金额、支付状态、凭证、退款和发票信息。</w:t>
      </w:r>
    </w:p>
    <w:p w14:paraId="256B7E4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对符合条件的订单可执行取消、申请退款、申请发票或删除操作。</w:t>
      </w:r>
    </w:p>
    <w:p w14:paraId="6A4CBE3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酒店订单也可以通过 /hotel-orders 或个人中心中的酒店预订记录查看。</w:t>
      </w:r>
    </w:p>
    <w:p w14:paraId="1735992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3.10 个人中心模块</w:t>
      </w:r>
    </w:p>
    <w:p w14:paraId="722AA99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登录后点击“个人中心”或访问 /profile。</w:t>
      </w:r>
    </w:p>
    <w:p w14:paraId="4BC8D75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查看个人统计信息，包括路线、评论、预订等数量。</w:t>
      </w:r>
    </w:p>
    <w:p w14:paraId="2E38413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在资料区域修改昵称、上传头像。</w:t>
      </w:r>
    </w:p>
    <w:p w14:paraId="235FEDC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在密码区域输入旧密码、新密码和确认密码，完成密码修改。</w:t>
      </w:r>
    </w:p>
    <w:p w14:paraId="73E7CEB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在“我的路线”中查看或删除自己发布的路线。</w:t>
      </w:r>
    </w:p>
    <w:p w14:paraId="7193476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在“我的预订”和“酒店预订”中查看、取消或删除订单。</w:t>
      </w:r>
    </w:p>
    <w:p w14:paraId="4A8F234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7. 在“我的评论”中查看景点评论和路线评论，并删除自己的评论。</w:t>
      </w:r>
    </w:p>
    <w:p w14:paraId="5D4C996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4 管理员功能模块</w:t>
      </w:r>
    </w:p>
    <w:p w14:paraId="510DE24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管理员功能集中在 /admin 页面。只有拥有 ADMIN 角色的账号可以访问后台；未登录用户访问后台会跳转登录页，非管理员账号会被重定向到首页。</w:t>
      </w:r>
    </w:p>
    <w:p w14:paraId="584BC84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4.1 后台登录与总览模块</w:t>
      </w:r>
    </w:p>
    <w:p w14:paraId="146D4EB2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使用管理员账号登录系统。</w:t>
      </w:r>
    </w:p>
    <w:p w14:paraId="1E23427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如系统提示二次认证或二级密码，按管理员安全配置填写。</w:t>
      </w:r>
    </w:p>
    <w:p w14:paraId="39E5CC6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访问 /admin 进入后台管理页面。</w:t>
      </w:r>
    </w:p>
    <w:p w14:paraId="06343D0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查看总用户数、订单数、总收入、景点数量等统计卡片。</w:t>
      </w:r>
    </w:p>
    <w:p w14:paraId="014BC16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查看订单收入趋势、景点类别占比、游客城市分布、热门景点访问量、用户增长和新闻发布趋势等图表。</w:t>
      </w:r>
    </w:p>
    <w:p w14:paraId="3F91EE2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4.2 用户管理模块</w:t>
      </w:r>
    </w:p>
    <w:p w14:paraId="252D022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展开“用户管理”区域。</w:t>
      </w:r>
    </w:p>
    <w:p w14:paraId="1D575C5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查看用户 ID、用户名、昵称、注册时间、角色和锁定状态。</w:t>
      </w:r>
    </w:p>
    <w:p w14:paraId="6914C2B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对普通用户可执行设为管理员操作。</w:t>
      </w:r>
    </w:p>
    <w:p w14:paraId="142CB7E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对管理员用户可执行取消管理员操作，但系统保护账号不可随意降权。</w:t>
      </w:r>
    </w:p>
    <w:p w14:paraId="2C40379F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对被锁定用户可执行解锁操作。</w:t>
      </w:r>
    </w:p>
    <w:p w14:paraId="030EB83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对允许删除的用户可执行删除操作。</w:t>
      </w:r>
    </w:p>
    <w:p w14:paraId="6E74FB5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4.3 景点管理模块</w:t>
      </w:r>
    </w:p>
    <w:p w14:paraId="188743F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展开“景点管理”区域。</w:t>
      </w:r>
    </w:p>
    <w:p w14:paraId="6BAAE85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查看景点卡片，包括景点图片、名称、城市、介绍、票价和访问量。</w:t>
      </w:r>
    </w:p>
    <w:p w14:paraId="1FBB1C5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点击景点卡片进入编辑弹窗，修改景点基础信息和图片。</w:t>
      </w:r>
    </w:p>
    <w:p w14:paraId="4F7DD6C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点击单个景点的票价刷新按钮，可抓取并更新该景点票价。</w:t>
      </w:r>
    </w:p>
    <w:p w14:paraId="04F90D39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点击“批量获取票价”可启动批量票价更新任务，并在进度条中查看已处理、成功、失败和跳过数量。</w:t>
      </w:r>
    </w:p>
    <w:p w14:paraId="1AACC7E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保存修改后，前台景点列表和详情页会展示最新内容。</w:t>
      </w:r>
    </w:p>
    <w:p w14:paraId="6A71703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4.4 新闻管理模块</w:t>
      </w:r>
    </w:p>
    <w:p w14:paraId="72CDB89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展开“新闻管理”区域。</w:t>
      </w:r>
    </w:p>
    <w:p w14:paraId="5F4A7CE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点击“新增新闻”打开新闻编辑弹窗。</w:t>
      </w:r>
    </w:p>
    <w:p w14:paraId="4B69AE9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填写标题、内容、类别、图片和浏览量。</w:t>
      </w:r>
    </w:p>
    <w:p w14:paraId="1D0F0D7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点击保存后，新闻进入前台新闻列表。</w:t>
      </w:r>
    </w:p>
    <w:p w14:paraId="722CE16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对已有新闻可执行编辑或删除操作。</w:t>
      </w:r>
    </w:p>
    <w:p w14:paraId="3433CC3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4.5 轮播图管理模块</w:t>
      </w:r>
    </w:p>
    <w:p w14:paraId="236D1F4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展开“轮播图管理”区域。</w:t>
      </w:r>
    </w:p>
    <w:p w14:paraId="6F11DC2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点击“新增轮播图”打开编辑弹窗。</w:t>
      </w:r>
    </w:p>
    <w:p w14:paraId="1D3FD55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填写标题、副标题、标签、图片、跳转链接、排序值和启用状态。</w:t>
      </w:r>
    </w:p>
    <w:p w14:paraId="673EFA9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保存后，启用的轮播图会按排序在首页展示。</w:t>
      </w:r>
    </w:p>
    <w:p w14:paraId="47DAE8C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可对已有轮播图执行编辑、禁用或删除操作。</w:t>
      </w:r>
    </w:p>
    <w:p w14:paraId="6CBEC960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4.6 路线管理模块</w:t>
      </w:r>
    </w:p>
    <w:p w14:paraId="320A765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展开“路线管理”区域。</w:t>
      </w:r>
    </w:p>
    <w:p w14:paraId="3E44C86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查看官方路线或后台维护的路线数据。</w:t>
      </w:r>
    </w:p>
    <w:p w14:paraId="13554A6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点击新增或编辑，填写标题、天数、预算、偏好、价格、难度、温度、地理信息和路线内容。</w:t>
      </w:r>
    </w:p>
    <w:p w14:paraId="16065F8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保存后，路线可作为官方内容展示或同步到社区。</w:t>
      </w:r>
    </w:p>
    <w:p w14:paraId="0D30E7F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对不再使用的路线可执行删除操作。</w:t>
      </w:r>
    </w:p>
    <w:p w14:paraId="099360A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4.7 酒店与房型管理模块</w:t>
      </w:r>
    </w:p>
    <w:p w14:paraId="156FB49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展开“酒店管理”区域。</w:t>
      </w:r>
    </w:p>
    <w:p w14:paraId="7034C13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点击“新增酒店”填写酒店名称、位置、电话、价格区间、评分、图片和设施。</w:t>
      </w:r>
    </w:p>
    <w:p w14:paraId="0197F68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点击已有酒店可编辑基础信息。</w:t>
      </w:r>
    </w:p>
    <w:p w14:paraId="79E8F048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在酒店卡片中展开房型管理，维护房型名称、价格、容量、设施和排序。</w:t>
      </w:r>
    </w:p>
    <w:p w14:paraId="49D9544C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删除房型或酒店前应确认不存在需要保留的订单关联。</w:t>
      </w:r>
    </w:p>
    <w:p w14:paraId="61A2962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4.8 酒店订单管理模块</w:t>
      </w:r>
    </w:p>
    <w:p w14:paraId="6DF6F304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展开“酒店订单”区域。</w:t>
      </w:r>
    </w:p>
    <w:p w14:paraId="6C858E50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查看订单号、用户、酒店房型、入住离店日期、预订人、金额、状态和下单时间。</w:t>
      </w:r>
    </w:p>
    <w:p w14:paraId="67EFDC1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通过状态下拉框将订单更新为待处理、已确认或已取消。</w:t>
      </w:r>
    </w:p>
    <w:p w14:paraId="71F0E4A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对确认无效或测试数据的订单可执行删除操作。</w:t>
      </w:r>
    </w:p>
    <w:p w14:paraId="171577A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4.9 非遗管理模块</w:t>
      </w:r>
    </w:p>
    <w:p w14:paraId="53F53E8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展开“非遗管理”区域。</w:t>
      </w:r>
    </w:p>
    <w:p w14:paraId="60D0F95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使用搜索框按项目名称、类别或地区筛选非遗项目。</w:t>
      </w:r>
    </w:p>
    <w:p w14:paraId="0AE4809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点击“新增非遗”填写名称、藏文名称、类别、地区、保护级别、图片、视频、百科链接、介绍、藏文描述、起源故事和文化价值。</w:t>
      </w:r>
    </w:p>
    <w:p w14:paraId="3F3CB5F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对已有项目可执行编辑或删除操作。</w:t>
      </w:r>
    </w:p>
    <w:p w14:paraId="10CB981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点击“传承人/活动”展开关联管理。</w:t>
      </w:r>
    </w:p>
    <w:p w14:paraId="6A8BE6D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在传承人区域维护姓名、级别、地区、头像、简介和传承故事。</w:t>
      </w:r>
    </w:p>
    <w:p w14:paraId="42BB03A2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7. 在活动区域维护标题、开始日期、结束日期、地点、联系方式、图片和活动内容。</w:t>
      </w:r>
    </w:p>
    <w:p w14:paraId="2BDB721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4.10 社区内容管理模块</w:t>
      </w:r>
    </w:p>
    <w:p w14:paraId="3E5A08A2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展开“社区管理”区域。</w:t>
      </w:r>
    </w:p>
    <w:p w14:paraId="079325CA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通过页签切换共享路线、旅行问题、路线评论、景点评论和问答回答。</w:t>
      </w:r>
    </w:p>
    <w:p w14:paraId="5FC34F43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查看内容作者、来源、状态、正文摘要、创建时间和互动数据。</w:t>
      </w:r>
    </w:p>
    <w:p w14:paraId="0345212B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点击编辑按钮可修改不规范标题或正文。</w:t>
      </w:r>
    </w:p>
    <w:p w14:paraId="4FCE692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点击删除按钮可移除违规、重复或测试内容。</w:t>
      </w:r>
    </w:p>
    <w:p w14:paraId="7D7E2BC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处理问答内容时，应优先保留已采纳答案和有价值的用户经验。</w:t>
      </w:r>
    </w:p>
    <w:p w14:paraId="09126C2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5 系统维护与常见问题</w:t>
      </w:r>
    </w:p>
    <w:p w14:paraId="7B0D874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5.1 常用维护命令</w:t>
      </w: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0DA05CB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F61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场景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DBC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命令</w:t>
            </w:r>
          </w:p>
        </w:tc>
      </w:tr>
      <w:tr w14:paraId="3CBE015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C8F4358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查看服务状态</w:t>
            </w:r>
          </w:p>
        </w:tc>
        <w:tc>
          <w:tcPr>
            <w:tcW w:w="6560" w:type="dxa"/>
          </w:tcPr>
          <w:p w14:paraId="6DFBE14A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ps</w:t>
            </w:r>
          </w:p>
        </w:tc>
      </w:tr>
      <w:tr w14:paraId="6FD51C8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3666C9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查看后端日志</w:t>
            </w:r>
          </w:p>
        </w:tc>
        <w:tc>
          <w:tcPr>
            <w:tcW w:w="6560" w:type="dxa"/>
          </w:tcPr>
          <w:p w14:paraId="5228895E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logs -f backend</w:t>
            </w:r>
          </w:p>
        </w:tc>
      </w:tr>
      <w:tr w14:paraId="3C47D2E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11409A8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查看前端日志</w:t>
            </w:r>
          </w:p>
        </w:tc>
        <w:tc>
          <w:tcPr>
            <w:tcW w:w="6560" w:type="dxa"/>
          </w:tcPr>
          <w:p w14:paraId="1140AA31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logs -f frontend</w:t>
            </w:r>
          </w:p>
        </w:tc>
      </w:tr>
      <w:tr w14:paraId="4D42569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51646E8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重建前端镜像</w:t>
            </w:r>
          </w:p>
        </w:tc>
        <w:tc>
          <w:tcPr>
            <w:tcW w:w="6560" w:type="dxa"/>
          </w:tcPr>
          <w:p w14:paraId="5E7CFAD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build frontend &amp;&amp; docker compose up -d frontend</w:t>
            </w:r>
          </w:p>
        </w:tc>
      </w:tr>
      <w:tr w14:paraId="58F910B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59CCE5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重建后端镜像</w:t>
            </w:r>
          </w:p>
        </w:tc>
        <w:tc>
          <w:tcPr>
            <w:tcW w:w="6560" w:type="dxa"/>
          </w:tcPr>
          <w:p w14:paraId="4927A0FF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build backend &amp;&amp; docker compose up -d backend</w:t>
            </w:r>
          </w:p>
        </w:tc>
      </w:tr>
      <w:tr w14:paraId="09BC8EB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0728EA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停止服务</w:t>
            </w:r>
          </w:p>
        </w:tc>
        <w:tc>
          <w:tcPr>
            <w:tcW w:w="6560" w:type="dxa"/>
          </w:tcPr>
          <w:p w14:paraId="399C5E44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down</w:t>
            </w:r>
          </w:p>
        </w:tc>
      </w:tr>
      <w:tr w14:paraId="2EDE8A6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BAA6BA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重置本地数据卷</w:t>
            </w:r>
          </w:p>
        </w:tc>
        <w:tc>
          <w:tcPr>
            <w:tcW w:w="6560" w:type="dxa"/>
          </w:tcPr>
          <w:p w14:paraId="2712A9E4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compose down -v</w:t>
            </w:r>
          </w:p>
        </w:tc>
      </w:tr>
    </w:tbl>
    <w:p w14:paraId="082C5040">
      <w:pPr>
        <w:rPr>
          <w:rFonts w:hint="eastAsia" w:ascii="宋体" w:hAnsi="宋体" w:eastAsia="宋体" w:cs="宋体"/>
          <w:color w:val="auto"/>
        </w:rPr>
      </w:pPr>
    </w:p>
    <w:p w14:paraId="34B8D79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5.2 常见问题处理</w:t>
      </w: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15A27B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4D0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问题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CE7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处理方法</w:t>
            </w:r>
          </w:p>
        </w:tc>
      </w:tr>
      <w:tr w14:paraId="425B11C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8FE36F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前端无法访问</w:t>
            </w:r>
          </w:p>
        </w:tc>
        <w:tc>
          <w:tcPr>
            <w:tcW w:w="6760" w:type="dxa"/>
          </w:tcPr>
          <w:p w14:paraId="1CAA4ED3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 frontend 容器是否启动，确认 FRONTEND_HOST_PORT 未被占用，并查看 frontend 日志。</w:t>
            </w:r>
          </w:p>
        </w:tc>
      </w:tr>
      <w:tr w14:paraId="160CD40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05ED610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接口请求 404 或代理失败</w:t>
            </w:r>
          </w:p>
        </w:tc>
        <w:tc>
          <w:tcPr>
            <w:tcW w:w="6760" w:type="dxa"/>
          </w:tcPr>
          <w:p w14:paraId="3F05F437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确认 VITE_API_BASE_URL=/api，Nginx 或 Vite 代理配置指向后端服务。</w:t>
            </w:r>
          </w:p>
        </w:tc>
      </w:tr>
      <w:tr w14:paraId="28AC645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A36A305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登录失败或频繁 401</w:t>
            </w:r>
          </w:p>
        </w:tc>
        <w:tc>
          <w:tcPr>
            <w:tcW w:w="6760" w:type="dxa"/>
          </w:tcPr>
          <w:p w14:paraId="72486E62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检查账号密码、Cookie/CSRF 配置、JWT_SECRET 是否一致，必要时重新登录。</w:t>
            </w:r>
          </w:p>
        </w:tc>
      </w:tr>
      <w:tr w14:paraId="5224937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B9EF0F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管理员无法进入后台</w:t>
            </w:r>
          </w:p>
        </w:tc>
        <w:tc>
          <w:tcPr>
            <w:tcW w:w="6760" w:type="dxa"/>
          </w:tcPr>
          <w:p w14:paraId="416AE53A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确认用户角色为 ADMIN，并检查是否需要二次认证或修改初始密码。</w:t>
            </w:r>
          </w:p>
        </w:tc>
      </w:tr>
      <w:tr w14:paraId="1D6E2E2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905AD45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AI 路线生成失败</w:t>
            </w:r>
          </w:p>
        </w:tc>
        <w:tc>
          <w:tcPr>
            <w:tcW w:w="6760" w:type="dxa"/>
          </w:tcPr>
          <w:p w14:paraId="3E49CCD4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 DOUBAO_API_KEY 或 ARK_API_KEY 是否配置，查看 backend 日志中的 AI 服务错误。</w:t>
            </w:r>
          </w:p>
        </w:tc>
      </w:tr>
      <w:tr w14:paraId="46D96D5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58B6EF8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票价抓取失败</w:t>
            </w:r>
          </w:p>
        </w:tc>
        <w:tc>
          <w:tcPr>
            <w:tcW w:w="6760" w:type="dxa"/>
          </w:tcPr>
          <w:p w14:paraId="20AA0BB6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 scrapling 服务健康状态、SCRAPLING_SERVICE_URL 配置和外部目标站点可用性。</w:t>
            </w:r>
          </w:p>
        </w:tc>
      </w:tr>
      <w:tr w14:paraId="2E8CCFF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7B9743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图片不显示</w:t>
            </w:r>
          </w:p>
        </w:tc>
        <w:tc>
          <w:tcPr>
            <w:tcW w:w="6760" w:type="dxa"/>
          </w:tcPr>
          <w:p w14:paraId="5813DE4C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检查图片 URL、/images 静态资源、/uploads 上传目录和 Nginx 代理配置。</w:t>
            </w:r>
          </w:p>
        </w:tc>
      </w:tr>
      <w:tr w14:paraId="78CB3A5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7E3AD7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数据库连接失败</w:t>
            </w:r>
          </w:p>
        </w:tc>
        <w:tc>
          <w:tcPr>
            <w:tcW w:w="6760" w:type="dxa"/>
          </w:tcPr>
          <w:p w14:paraId="7CA57AD3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检查 MySQL 容器、端口、账号密码和 MYSQL_ALLOW_PUBLIC_KEY_RETRIEVAL 配置。</w:t>
            </w:r>
          </w:p>
        </w:tc>
      </w:tr>
    </w:tbl>
    <w:p w14:paraId="0C29C45A">
      <w:pPr>
        <w:rPr>
          <w:rFonts w:hint="eastAsia" w:ascii="宋体" w:hAnsi="宋体" w:eastAsia="宋体" w:cs="宋体"/>
          <w:color w:val="auto"/>
        </w:rPr>
      </w:pPr>
    </w:p>
    <w:p w14:paraId="0D50C17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5.3 上线前检查</w:t>
      </w:r>
    </w:p>
    <w:p w14:paraId="11E1F65E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1. 执行前端类型检查：cd frontend &amp;&amp; npm run typecheck。</w:t>
      </w:r>
    </w:p>
    <w:p w14:paraId="6D30E797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2. 执行前端生产构建：cd frontend &amp;&amp; npm run build。</w:t>
      </w:r>
    </w:p>
    <w:p w14:paraId="63FE0CDD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3. 执行后端测试：cd backend &amp;&amp; mvn -q test。</w:t>
      </w:r>
    </w:p>
    <w:p w14:paraId="03C1EDC6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4. 检查 backend/Dockerfile、frontend/Dockerfile、docker-compose.yml、docker-compose.prod.yml。</w:t>
      </w:r>
    </w:p>
    <w:p w14:paraId="2FED8AB1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5. 确认生产环境所有密钥为强随机值，COOKIE_SECURE=true，PUBLIC_DOCS_ENABLED 按需关闭。</w:t>
      </w:r>
    </w:p>
    <w:p w14:paraId="50660075">
      <w:pPr>
        <w:spacing w:before="0" w:after="80" w:line="300" w:lineRule="auto"/>
        <w:ind w:left="36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2"/>
        </w:rPr>
        <w:t>6. 确认数据库、Redis、上传目录、日志目录和证书目录已经按生产环境要求挂载和备份。</w:t>
      </w:r>
    </w:p>
    <w:p w14:paraId="756033B6">
      <w:pPr>
        <w:pStyle w:val="3"/>
        <w:rPr>
          <w:rFonts w:hint="eastAsia" w:ascii="宋体" w:hAnsi="宋体" w:eastAsia="宋体" w:cs="宋体"/>
          <w:b/>
          <w:color w:val="auto"/>
          <w:sz w:val="32"/>
        </w:rPr>
      </w:pPr>
    </w:p>
    <w:p w14:paraId="01F41ED3">
      <w:pPr>
        <w:pStyle w:val="3"/>
        <w:rPr>
          <w:rFonts w:hint="eastAsia" w:ascii="宋体" w:hAnsi="宋体" w:eastAsia="宋体" w:cs="宋体"/>
          <w:b/>
          <w:color w:val="auto"/>
          <w:sz w:val="32"/>
        </w:rPr>
      </w:pPr>
    </w:p>
    <w:p w14:paraId="6791D54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附录 A 系统角色与主要入口</w:t>
      </w: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00"/>
        <w:gridCol w:w="5260"/>
      </w:tblGrid>
      <w:tr w14:paraId="115605B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DFD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角色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582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主要入口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35A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</w:rPr>
              <w:t>可用功能</w:t>
            </w:r>
          </w:p>
        </w:tc>
      </w:tr>
      <w:tr w14:paraId="65AEEE9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41C8D77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游客</w:t>
            </w:r>
          </w:p>
        </w:tc>
        <w:tc>
          <w:tcPr>
            <w:tcW w:w="2500" w:type="dxa"/>
          </w:tcPr>
          <w:p w14:paraId="5F36AB1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</w:t>
            </w:r>
          </w:p>
        </w:tc>
        <w:tc>
          <w:tcPr>
            <w:tcW w:w="5260" w:type="dxa"/>
          </w:tcPr>
          <w:p w14:paraId="2C497C20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首页、景点、酒店、非遗、新闻和公开社区内容浏览</w:t>
            </w:r>
          </w:p>
        </w:tc>
      </w:tr>
      <w:tr w14:paraId="254FF6E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791BFC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注册用户</w:t>
            </w:r>
          </w:p>
        </w:tc>
        <w:tc>
          <w:tcPr>
            <w:tcW w:w="2500" w:type="dxa"/>
          </w:tcPr>
          <w:p w14:paraId="1A9DAB1C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/login、/profile</w:t>
            </w:r>
          </w:p>
        </w:tc>
        <w:tc>
          <w:tcPr>
            <w:tcW w:w="5260" w:type="dxa"/>
          </w:tcPr>
          <w:p w14:paraId="5B5EFC88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路线生成、路线发布、评论、收藏、门票预订、酒店预订、订单中心</w:t>
            </w:r>
          </w:p>
        </w:tc>
      </w:tr>
      <w:tr w14:paraId="376F860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0B5F51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管理员</w:t>
            </w:r>
          </w:p>
        </w:tc>
        <w:tc>
          <w:tcPr>
            <w:tcW w:w="2500" w:type="dxa"/>
          </w:tcPr>
          <w:p w14:paraId="1F5319B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/admin</w:t>
            </w:r>
          </w:p>
        </w:tc>
        <w:tc>
          <w:tcPr>
            <w:tcW w:w="5260" w:type="dxa"/>
          </w:tcPr>
          <w:p w14:paraId="04F6A53F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数据统计、用户、景点、新闻、轮播图、路线、酒店、订单、非遗和社区内容管理</w:t>
            </w:r>
          </w:p>
        </w:tc>
      </w:tr>
      <w:tr w14:paraId="1C7E684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1DC99E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运维人员</w:t>
            </w:r>
          </w:p>
        </w:tc>
        <w:tc>
          <w:tcPr>
            <w:tcW w:w="2500" w:type="dxa"/>
          </w:tcPr>
          <w:p w14:paraId="76B1CF28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项目根目录与 Docker 环境</w:t>
            </w:r>
          </w:p>
        </w:tc>
        <w:tc>
          <w:tcPr>
            <w:tcW w:w="5260" w:type="dxa"/>
          </w:tcPr>
          <w:p w14:paraId="2DACB955">
            <w:pPr>
              <w:spacing w:before="0" w:after="0" w:line="276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环境变量配置、服务启动、日志查看、健康检查、备份和发布</w:t>
            </w:r>
          </w:p>
        </w:tc>
      </w:tr>
    </w:tbl>
    <w:p w14:paraId="08C06C45">
      <w:pPr>
        <w:rPr>
          <w:rFonts w:hint="eastAsia" w:ascii="宋体" w:hAnsi="宋体" w:eastAsia="宋体" w:cs="宋体"/>
          <w:color w:val="auto"/>
        </w:rPr>
      </w:pPr>
    </w:p>
    <w:p w14:paraId="5420275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703DB4A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附录 B 前端路由速查</w:t>
      </w:r>
    </w:p>
    <w:tbl>
      <w:tblPr>
        <w:tblStyle w:val="33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4E56AA9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0F7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路由</w:t>
            </w:r>
          </w:p>
        </w:tc>
        <w:tc>
          <w:tcPr>
            <w:tcW w:w="6560" w:type="dxa"/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5B36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页面说明</w:t>
            </w:r>
          </w:p>
        </w:tc>
      </w:tr>
      <w:tr w14:paraId="599EDA2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ED5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283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首页</w:t>
            </w:r>
          </w:p>
        </w:tc>
      </w:tr>
      <w:tr w14:paraId="39C9969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0C95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/login、/register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668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登录与注册</w:t>
            </w:r>
          </w:p>
        </w:tc>
      </w:tr>
      <w:tr w14:paraId="3A12436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B54F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/spots、/spots/:id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FCDF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景点列表与景点详情</w:t>
            </w:r>
          </w:p>
        </w:tc>
      </w:tr>
      <w:tr w14:paraId="46D6C3F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D675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/route-planner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451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AI 路线规划</w:t>
            </w:r>
          </w:p>
        </w:tc>
      </w:tr>
      <w:tr w14:paraId="32D6364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828A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/community、/community/:id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BBE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路线社区与路线详情</w:t>
            </w:r>
          </w:p>
        </w:tc>
      </w:tr>
      <w:tr w14:paraId="4F812BD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65B7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/community/question/:id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80F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旅行问答详情</w:t>
            </w:r>
          </w:p>
        </w:tc>
      </w:tr>
      <w:tr w14:paraId="304FD5D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657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/create-route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852E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手动发布路线</w:t>
            </w:r>
          </w:p>
        </w:tc>
      </w:tr>
      <w:tr w14:paraId="7CE32CC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A081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/hotels、/hotels/:id、/hotel-booking/:id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035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酒店列表、酒店详情与酒店预订</w:t>
            </w:r>
          </w:p>
        </w:tc>
      </w:tr>
      <w:tr w14:paraId="7E18EBA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9437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/orders、/hotel-orders、/favorites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2E42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订单中心、酒店订单与我的收藏</w:t>
            </w:r>
          </w:p>
        </w:tc>
      </w:tr>
      <w:tr w14:paraId="4C6C898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4074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/heritage、/news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D5D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非遗文化与新闻资讯</w:t>
            </w:r>
          </w:p>
        </w:tc>
      </w:tr>
      <w:tr w14:paraId="36ACA29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74E6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/profile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AB9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个人中心</w:t>
            </w:r>
          </w:p>
        </w:tc>
      </w:tr>
      <w:tr w14:paraId="1B885A7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4F6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/admin</w:t>
            </w:r>
          </w:p>
        </w:tc>
        <w:tc>
          <w:tcPr>
            <w:tcW w:w="6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0AA2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管理员后台</w:t>
            </w:r>
          </w:p>
        </w:tc>
      </w:tr>
    </w:tbl>
    <w:p w14:paraId="6A7215F7">
      <w:pPr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B8AB9">
    <w:pPr>
      <w:pStyle w:val="24"/>
      <w:jc w:val="right"/>
    </w:pPr>
    <w:r>
      <w:rPr>
        <w:rFonts w:ascii="Calibri" w:hAnsi="Calibri" w:eastAsia="微软雅黑"/>
        <w:color w:val="5B6373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5B63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197B0">
    <w:pPr>
      <w:pStyle w:val="2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68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6202</Words>
  <Characters>9371</Characters>
  <Lines>0</Lines>
  <Paragraphs>0</Paragraphs>
  <TotalTime>2</TotalTime>
  <ScaleCrop>false</ScaleCrop>
  <LinksUpToDate>false</LinksUpToDate>
  <CharactersWithSpaces>9947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苏黎</cp:lastModifiedBy>
  <dcterms:modified xsi:type="dcterms:W3CDTF">2026-05-27T04:48:03Z</dcterms:modified>
  <dc:subject>系统部署与功能操作说明</dc:subject>
  <dc:title>七彩西藏系统操作手册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eyJoZGlkIjoiY2ZmNzMxYmEyN2U1NTdjOGQ5MjI3Njk3ODA3NzQxYjUiLCJ1c2VySWQiOiI1MjYxMzk1MDQifQ==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1030A82094E9499AB4580AAA5158C3B4_12</vt:lpwstr>
  </property>
</Properties>
</file>