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35C9" w14:textId="3581B0A7" w:rsidR="003C637A" w:rsidRDefault="0021379F" w:rsidP="009762C1">
      <w:pPr>
        <w:spacing w:before="120" w:after="80"/>
      </w:pPr>
      <w:r>
        <w:rPr>
          <w:rFonts w:ascii="Arial" w:eastAsia="Arial" w:hAnsi="Arial" w:cs="Arial"/>
          <w:b/>
          <w:bCs/>
          <w:color w:val="1B3A6B"/>
          <w:sz w:val="38"/>
          <w:szCs w:val="38"/>
        </w:rPr>
        <w:t>COST ANALYSIS &amp; VENDOR SELECTION</w:t>
      </w:r>
    </w:p>
    <w:p w14:paraId="0EF41E27" w14:textId="77777777" w:rsidR="003C637A" w:rsidRDefault="0021379F">
      <w:pPr>
        <w:pStyle w:val="Heading1"/>
        <w:pBdr>
          <w:bottom w:val="single" w:sz="6" w:space="4" w:color="0D7377"/>
        </w:pBdr>
        <w:spacing w:before="360" w:after="180"/>
      </w:pPr>
      <w:r>
        <w:rPr>
          <w:rFonts w:ascii="Arial" w:eastAsia="Arial" w:hAnsi="Arial" w:cs="Arial"/>
          <w:b/>
          <w:bCs/>
          <w:color w:val="1B3A6B"/>
          <w:sz w:val="30"/>
          <w:szCs w:val="30"/>
        </w:rPr>
        <w:t>1. Budget Summary &amp; Cost Structure</w:t>
      </w:r>
    </w:p>
    <w:p w14:paraId="46357949" w14:textId="77777777" w:rsidR="003C637A" w:rsidRDefault="0021379F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The total Year 1 budget for the SafeNight SD kiosk pilot is $65,000, covering hardware procurement, installation, maintenance, and program coordination across 15 kiosk units in San Diego. The table below provides the full cost breakdown with added detail on unit economics.</w:t>
      </w:r>
    </w:p>
    <w:p w14:paraId="0C7ACB6D" w14:textId="77777777" w:rsidR="003C637A" w:rsidRDefault="003C637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600"/>
        <w:gridCol w:w="1600"/>
        <w:gridCol w:w="2360"/>
      </w:tblGrid>
      <w:tr w:rsidR="003C637A" w14:paraId="045EC11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DAC945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Budget Category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685082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Unit Cost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E5490C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Units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2FFF38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Total Cost</w:t>
            </w:r>
          </w:p>
        </w:tc>
      </w:tr>
      <w:tr w:rsidR="003C637A" w14:paraId="088B159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23511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Kiosk hardware (breathalyzer + enclosure + display)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EB049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$2,500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1B42B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15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DBFD23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$37,500</w:t>
            </w:r>
          </w:p>
        </w:tc>
      </w:tr>
      <w:tr w:rsidR="003C637A" w14:paraId="079E243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C6F3E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Installation &amp; site preparation (per kiosk)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86CBEB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49AD4B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15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89F58E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$7,500</w:t>
            </w:r>
          </w:p>
        </w:tc>
      </w:tr>
      <w:tr w:rsidR="003C637A" w14:paraId="68B625AB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E07E2A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Annual maintenance &amp; SLA contract (per kiosk/yr)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54FAD5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279498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15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7C758B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$7,500</w:t>
            </w:r>
          </w:p>
        </w:tc>
      </w:tr>
      <w:tr w:rsidR="003C637A" w14:paraId="1FB8189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CFF89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Connectivity — cellular data plan per unit, 12 months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80D98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$0*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24EE2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15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D0076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Vendor-bundled</w:t>
            </w:r>
          </w:p>
        </w:tc>
      </w:tr>
      <w:tr w:rsidR="003C637A" w14:paraId="0D903D7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931D9B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Part-time program coordinator (10 hrs/wk × 12 months @ $24/hr)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E3C695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N/A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4624F6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04BB3F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$12,500</w:t>
            </w:r>
          </w:p>
        </w:tc>
      </w:tr>
      <w:tr w:rsidR="003C637A" w14:paraId="5EF17969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931FC6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Marketing &amp; launch campaign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436E07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N/A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4D567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FA35E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Sponsor-funded / $0</w:t>
            </w:r>
          </w:p>
        </w:tc>
      </w:tr>
      <w:tr w:rsidR="003C637A" w14:paraId="7163FF3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CBA355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Contingency reserve (5% of hard costs)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45ED3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N/A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A92746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54844B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$2,625*</w:t>
            </w:r>
          </w:p>
        </w:tc>
      </w:tr>
      <w:tr w:rsidR="003C637A" w14:paraId="3EF5152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43F119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TOTAL YEAR 1 INVESTMENT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85246C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D322FE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F2495B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$65,000</w:t>
            </w:r>
          </w:p>
        </w:tc>
      </w:tr>
    </w:tbl>
    <w:p w14:paraId="22A07935" w14:textId="11D5057B" w:rsidR="003C637A" w:rsidRDefault="0021379F" w:rsidP="0059382D">
      <w:pPr>
        <w:spacing w:before="80" w:after="80"/>
      </w:pPr>
      <w:r>
        <w:rPr>
          <w:rFonts w:ascii="Arial" w:eastAsia="Arial" w:hAnsi="Arial" w:cs="Arial"/>
          <w:i/>
          <w:iCs/>
          <w:color w:val="444444"/>
        </w:rPr>
        <w:t>*Cellular data is bundled in vendor SLA for qualifying bids. Contingency reserve of $2,625 is held within the $65K envelope and deployed only if an approved risk event materializes.</w:t>
      </w:r>
    </w:p>
    <w:p w14:paraId="01569B4F" w14:textId="77777777" w:rsidR="003C637A" w:rsidRDefault="0021379F">
      <w:pPr>
        <w:pStyle w:val="Heading2"/>
        <w:spacing w:before="260" w:after="120"/>
      </w:pPr>
      <w:proofErr w:type="gramStart"/>
      <w:r>
        <w:rPr>
          <w:rFonts w:ascii="Arial" w:eastAsia="Arial" w:hAnsi="Arial" w:cs="Arial"/>
          <w:b/>
          <w:bCs/>
          <w:color w:val="0D7377"/>
          <w:sz w:val="24"/>
          <w:szCs w:val="24"/>
        </w:rPr>
        <w:t>1.1  Unit</w:t>
      </w:r>
      <w:proofErr w:type="gramEnd"/>
      <w:r>
        <w:rPr>
          <w:rFonts w:ascii="Arial" w:eastAsia="Arial" w:hAnsi="Arial" w:cs="Arial"/>
          <w:b/>
          <w:bCs/>
          <w:color w:val="0D7377"/>
          <w:sz w:val="24"/>
          <w:szCs w:val="24"/>
        </w:rPr>
        <w:t xml:space="preserve"> Economics per Kiosk</w:t>
      </w:r>
    </w:p>
    <w:p w14:paraId="379DFF67" w14:textId="77777777" w:rsidR="003C637A" w:rsidRDefault="003C637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3C637A" w14:paraId="20F2FDF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5BF40D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AE6433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Year 1 (Pilot)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46CB52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Year 2+ (Scaled)</w:t>
            </w:r>
          </w:p>
        </w:tc>
      </w:tr>
      <w:tr w:rsidR="003C637A" w14:paraId="6FC12CE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5063CF5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Hardware cost per kiosk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5D545F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$2,500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67ACAC1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$2,200 (volume discount)</w:t>
            </w:r>
          </w:p>
        </w:tc>
      </w:tr>
      <w:tr w:rsidR="003C637A" w14:paraId="22109F4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E444C6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Installation cost per kiosk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2F5C3D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F250C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$350 (efficiencies gained)</w:t>
            </w:r>
          </w:p>
        </w:tc>
      </w:tr>
      <w:tr w:rsidR="003C637A" w14:paraId="6804E37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BA61B8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Annual maintenance per kiosk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43B944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27556D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$450</w:t>
            </w:r>
          </w:p>
        </w:tc>
      </w:tr>
      <w:tr w:rsidR="003C637A" w14:paraId="531B04B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97B7F5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Total all-in cost per kiosk (Year 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78F66A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$3,500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92142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$3,000</w:t>
            </w:r>
          </w:p>
        </w:tc>
      </w:tr>
      <w:tr w:rsidR="003C637A" w14:paraId="4C4E042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919CD4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Coordinator cost allocated per kiosk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3A468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$833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DAFCCB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$500 (efficiency)</w:t>
            </w:r>
          </w:p>
        </w:tc>
      </w:tr>
      <w:tr w:rsidR="003C637A" w14:paraId="1E69BEA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029E1D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Total cost per kiosk including overhead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78BD17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$4,333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FAED2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$3,500</w:t>
            </w:r>
          </w:p>
        </w:tc>
      </w:tr>
      <w:tr w:rsidR="003C637A" w14:paraId="654C059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C4B8E8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lastRenderedPageBreak/>
              <w:t>Revenue target per kiosk (to break even)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AF66FC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$4,333/yr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29FFEE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$3,500/yr</w:t>
            </w:r>
          </w:p>
        </w:tc>
      </w:tr>
      <w:tr w:rsidR="003C637A" w14:paraId="18B5CB8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7F00D8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Revenue generated per kiosk (Year 1 projected)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501E8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$28,859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B02CDD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$35,000+</w:t>
            </w:r>
          </w:p>
        </w:tc>
      </w:tr>
      <w:tr w:rsidR="003C637A" w14:paraId="0D9182D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4D4765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Return per kiosk (Year 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B8A942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$24,525 surplus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423254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$31,500+ surplus</w:t>
            </w:r>
          </w:p>
        </w:tc>
      </w:tr>
    </w:tbl>
    <w:p w14:paraId="2254CF57" w14:textId="77777777" w:rsidR="003C637A" w:rsidRDefault="003C637A">
      <w:pPr>
        <w:spacing w:before="200" w:after="200"/>
      </w:pPr>
    </w:p>
    <w:p w14:paraId="2AA30BA8" w14:textId="77777777" w:rsidR="003C637A" w:rsidRDefault="0021379F">
      <w:pPr>
        <w:pStyle w:val="Heading1"/>
        <w:pBdr>
          <w:bottom w:val="single" w:sz="6" w:space="4" w:color="0D7377"/>
        </w:pBdr>
        <w:spacing w:before="360" w:after="180"/>
      </w:pPr>
      <w:r>
        <w:rPr>
          <w:rFonts w:ascii="Arial" w:eastAsia="Arial" w:hAnsi="Arial" w:cs="Arial"/>
          <w:b/>
          <w:bCs/>
          <w:color w:val="1B3A6B"/>
          <w:sz w:val="30"/>
          <w:szCs w:val="30"/>
        </w:rPr>
        <w:t>2. Revenue Projections</w:t>
      </w:r>
    </w:p>
    <w:p w14:paraId="4C02F7B5" w14:textId="77777777" w:rsidR="003C637A" w:rsidRDefault="0021379F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SafeNight SD generates revenue across five distinct streams, reducing reliance on any single source and creating a resilient financial model. The table below shows the Year 1 baseline projection.</w:t>
      </w:r>
    </w:p>
    <w:p w14:paraId="28E5C621" w14:textId="77777777" w:rsidR="003C637A" w:rsidRDefault="003C637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1560"/>
        <w:gridCol w:w="3000"/>
      </w:tblGrid>
      <w:tr w:rsidR="003C637A" w14:paraId="6F6CED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EE9EA2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Revenue Stream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485AA3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Basis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C9D205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Year 1 Est.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8AC324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Notes</w:t>
            </w:r>
          </w:p>
        </w:tc>
      </w:tr>
      <w:tr w:rsidR="003C637A" w14:paraId="67C250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ECCF3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Kiosk screen advertising (15 kiosks)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D6F5F4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Ad partnerships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A68494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$180,000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391408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$1,000/kiosk/month; ramp-up pricing Q1</w:t>
            </w:r>
          </w:p>
        </w:tc>
      </w:tr>
      <w:tr w:rsidR="003C637A" w14:paraId="112B7F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A640CD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Government grants (CA OTS / NHTSA 405d)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10C99F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Grant awards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413A7BD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$150,000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116C25E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Applications filed Month 1; modeled as upside</w:t>
            </w:r>
          </w:p>
        </w:tc>
      </w:tr>
      <w:tr w:rsidR="003C637A" w14:paraId="26CA68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CC9B35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B2B data licensing (anonymized BAC data)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6B17EB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Insurance / Research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818025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$60,000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E1DC2E4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Fully anonymized; CCPA-compliant; $5,000/mo</w:t>
            </w:r>
          </w:p>
        </w:tc>
      </w:tr>
      <w:tr w:rsidR="003C637A" w14:paraId="273C65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0BDE97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Bar venue SaaS subscriptions (15 venues)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6728EF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Monthly fee/venue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9A501C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$35,880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00229B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$199/venue/month × 15 venues × 12 months</w:t>
            </w:r>
          </w:p>
        </w:tc>
      </w:tr>
      <w:tr w:rsidR="003C637A" w14:paraId="7E4942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0A289B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Rideshare referral commissions (Uber / Lyft)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C4B181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Per-conversion fee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DA6A9E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$7,000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39178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~$0.75/booking; ~777 bookings/month est.</w:t>
            </w:r>
          </w:p>
        </w:tc>
      </w:tr>
      <w:tr w:rsidR="003C637A" w14:paraId="7712DC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7AD7E2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ESTIMATED YEAR 1 GROSS REVENUE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B8E886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BD13FA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$432,880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B4399C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5.7× revenue-to-cost ratio</w:t>
            </w:r>
          </w:p>
        </w:tc>
      </w:tr>
      <w:tr w:rsidR="003C637A" w14:paraId="16E05B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A9C6B9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ESTIMATED YEAR 1 NET PROFIT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397F3F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—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D37E23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$367,880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9ACE11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After $65,000 total investment</w:t>
            </w:r>
          </w:p>
        </w:tc>
      </w:tr>
    </w:tbl>
    <w:p w14:paraId="382B206C" w14:textId="77777777" w:rsidR="003C637A" w:rsidRDefault="003C637A">
      <w:pPr>
        <w:spacing w:before="200" w:after="200"/>
      </w:pPr>
    </w:p>
    <w:p w14:paraId="698797C3" w14:textId="77777777" w:rsidR="003C637A" w:rsidRDefault="0021379F">
      <w:pPr>
        <w:pStyle w:val="Heading1"/>
        <w:pBdr>
          <w:bottom w:val="single" w:sz="6" w:space="4" w:color="4A1942"/>
        </w:pBdr>
        <w:spacing w:before="360" w:after="180"/>
      </w:pPr>
      <w:r>
        <w:rPr>
          <w:rFonts w:ascii="Arial" w:eastAsia="Arial" w:hAnsi="Arial" w:cs="Arial"/>
          <w:b/>
          <w:bCs/>
          <w:color w:val="1B3A6B"/>
          <w:sz w:val="30"/>
          <w:szCs w:val="30"/>
        </w:rPr>
        <w:t>3. Bar Venue Subscription Model</w:t>
      </w:r>
    </w:p>
    <w:p w14:paraId="11D60D74" w14:textId="77777777" w:rsidR="003C637A" w:rsidRDefault="0021379F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The bar venue SaaS subscription is a recurring monthly revenue stream in which participating venues pay a fixed fee to host a SafeNight SD kiosk and receive data, reporting, and liability-reduction benefits in return. This section provides a full breakdown of the subscription structure, pricing tiers, value proposition, and revenue simulation.</w:t>
      </w:r>
    </w:p>
    <w:p w14:paraId="5BCEC70C" w14:textId="77777777" w:rsidR="003C637A" w:rsidRDefault="003C637A">
      <w:pPr>
        <w:spacing w:before="100" w:after="100"/>
      </w:pPr>
    </w:p>
    <w:p w14:paraId="638D9F32" w14:textId="77777777" w:rsidR="00AC0469" w:rsidRDefault="00AC0469">
      <w:pPr>
        <w:spacing w:before="100" w:after="100"/>
      </w:pPr>
    </w:p>
    <w:p w14:paraId="5071C2E5" w14:textId="77777777" w:rsidR="00AC0469" w:rsidRDefault="00AC0469">
      <w:pPr>
        <w:spacing w:before="100" w:after="100"/>
      </w:pPr>
    </w:p>
    <w:p w14:paraId="6248911B" w14:textId="77777777" w:rsidR="00AC0469" w:rsidRDefault="00AC0469">
      <w:pPr>
        <w:spacing w:before="100" w:after="100"/>
      </w:pPr>
    </w:p>
    <w:p w14:paraId="26B70222" w14:textId="77777777" w:rsidR="003C637A" w:rsidRDefault="0021379F">
      <w:pPr>
        <w:pStyle w:val="Heading2"/>
        <w:spacing w:before="260" w:after="120"/>
      </w:pPr>
      <w:r>
        <w:rPr>
          <w:rFonts w:ascii="Arial" w:eastAsia="Arial" w:hAnsi="Arial" w:cs="Arial"/>
          <w:b/>
          <w:bCs/>
          <w:color w:val="4A1942"/>
          <w:sz w:val="24"/>
          <w:szCs w:val="24"/>
        </w:rPr>
        <w:lastRenderedPageBreak/>
        <w:t>3.1  Subscription Tier Structure</w:t>
      </w:r>
    </w:p>
    <w:p w14:paraId="55D9A5F8" w14:textId="77777777" w:rsidR="003C637A" w:rsidRDefault="0021379F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SafeNight SD offers three subscription tiers to accommodate venues of different sizes and engagement levels. All tiers include kiosk hosting; higher tiers unlock data analytics and co-branded marketing benefits.</w:t>
      </w:r>
    </w:p>
    <w:p w14:paraId="19C11036" w14:textId="77777777" w:rsidR="003C637A" w:rsidRDefault="003C637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80"/>
        <w:gridCol w:w="1680"/>
        <w:gridCol w:w="4200"/>
      </w:tblGrid>
      <w:tr w:rsidR="003C637A" w14:paraId="03B75C3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97976C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Tier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98DFBA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Monthly Fee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CBC613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Annual Fee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7AA922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Included Benefits</w:t>
            </w:r>
          </w:p>
        </w:tc>
      </w:tr>
      <w:tr w:rsidR="003C637A" w14:paraId="19340BF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595BCF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3949AB"/>
                <w:sz w:val="21"/>
                <w:szCs w:val="21"/>
              </w:rPr>
              <w:t>Starter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23E605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$99/mo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3C3525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$1,188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CF928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Kiosk hosting, basic uptime reporting, SafeNight SD co-branded signage at entry</w:t>
            </w:r>
          </w:p>
        </w:tc>
      </w:tr>
      <w:tr w:rsidR="003C637A" w14:paraId="74369C7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BC1044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0D7377"/>
                <w:sz w:val="21"/>
                <w:szCs w:val="21"/>
              </w:rPr>
              <w:t>Standard ★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5C9057A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$199/mo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E3EE11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$2,388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30C65D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All Starter benefits + monthly BAC usage report, Uber/Lyft promo code allocation (50 codes/mo), inclusion in SafeNight SD venue directory</w:t>
            </w:r>
          </w:p>
        </w:tc>
      </w:tr>
      <w:tr w:rsidR="003C637A" w14:paraId="1F4941E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1EB59C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  <w:sz w:val="21"/>
                <w:szCs w:val="21"/>
              </w:rPr>
              <w:t>Premium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2A1D15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$349/mo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AA6867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$4,188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73EC9D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All Standard benefits + real-time dashboard access, 100 promo codes/mo, co-branded social media features, priority kiosk maintenance, quarterly DUI liability report for legal/insurance</w:t>
            </w:r>
          </w:p>
        </w:tc>
      </w:tr>
    </w:tbl>
    <w:p w14:paraId="58718F29" w14:textId="77777777" w:rsidR="003C637A" w:rsidRDefault="003C637A">
      <w:pPr>
        <w:spacing w:before="100" w:after="100"/>
      </w:pPr>
    </w:p>
    <w:p w14:paraId="178DEEBD" w14:textId="77777777" w:rsidR="003C637A" w:rsidRDefault="0021379F">
      <w:pPr>
        <w:spacing w:before="80" w:after="80"/>
      </w:pPr>
      <w:r>
        <w:rPr>
          <w:rFonts w:ascii="Arial" w:eastAsia="Arial" w:hAnsi="Arial" w:cs="Arial"/>
          <w:i/>
          <w:iCs/>
          <w:color w:val="444444"/>
        </w:rPr>
        <w:t>★ Standard tier is the baseline used in the Year 1 financial model. All 15 pilot venues are assumed to subscribe at the Standard tier.</w:t>
      </w:r>
    </w:p>
    <w:p w14:paraId="3B0C9024" w14:textId="77777777" w:rsidR="003C637A" w:rsidRDefault="003C637A">
      <w:pPr>
        <w:spacing w:before="100" w:after="100"/>
      </w:pPr>
    </w:p>
    <w:p w14:paraId="6C0299DB" w14:textId="77777777" w:rsidR="003C637A" w:rsidRDefault="0021379F">
      <w:pPr>
        <w:pStyle w:val="Heading2"/>
        <w:spacing w:before="260" w:after="120"/>
      </w:pPr>
      <w:r>
        <w:rPr>
          <w:rFonts w:ascii="Arial" w:eastAsia="Arial" w:hAnsi="Arial" w:cs="Arial"/>
          <w:b/>
          <w:bCs/>
          <w:color w:val="4A1942"/>
          <w:sz w:val="24"/>
          <w:szCs w:val="24"/>
        </w:rPr>
        <w:t>3.2  Value Proposition for Bar Venues</w:t>
      </w:r>
    </w:p>
    <w:p w14:paraId="3AD54C29" w14:textId="77777777" w:rsidR="003C637A" w:rsidRDefault="0021379F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Venues receive tangible financial and reputational benefits that justify the subscription cost:</w:t>
      </w:r>
    </w:p>
    <w:p w14:paraId="23D7A66D" w14:textId="77777777" w:rsidR="003C637A" w:rsidRDefault="0021379F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Liability reduction: documented evidence that the venue actively promotes responsible drinking, potentially reducing dram shop liability exposure</w:t>
      </w:r>
    </w:p>
    <w:p w14:paraId="23185BCC" w14:textId="77777777" w:rsidR="003C637A" w:rsidRDefault="0021379F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Insurance premium negotiation: quarterly DUI liability report (Premium tier) can be presented to insurers as risk mitigation documentation</w:t>
      </w:r>
    </w:p>
    <w:p w14:paraId="78865D6C" w14:textId="77777777" w:rsidR="003C637A" w:rsidRDefault="0021379F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Customer retention: Uber/Lyft promo codes keep patrons engaged with the venue's brand during the ride home</w:t>
      </w:r>
    </w:p>
    <w:p w14:paraId="55BB00E7" w14:textId="77777777" w:rsidR="003C637A" w:rsidRDefault="0021379F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Compliance edge: venues that can demonstrate DUI intervention programs are better positioned with city licensing authorities</w:t>
      </w:r>
    </w:p>
    <w:p w14:paraId="021E83C0" w14:textId="77777777" w:rsidR="003C637A" w:rsidRDefault="0021379F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PR and marketing: SafeNight SD co-branding signals community responsibility — differentiates the venue in a competitive market</w:t>
      </w:r>
    </w:p>
    <w:p w14:paraId="67B10A74" w14:textId="77777777" w:rsidR="003C637A" w:rsidRDefault="0021379F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Data insights: monthly BAC usage reports show peak hours, patterns, and customer behavior data for staffing and operations planning</w:t>
      </w:r>
    </w:p>
    <w:p w14:paraId="0DEAFCB5" w14:textId="77777777" w:rsidR="003C637A" w:rsidRDefault="003C637A">
      <w:pPr>
        <w:spacing w:before="100" w:after="100"/>
      </w:pPr>
    </w:p>
    <w:p w14:paraId="0AED59D7" w14:textId="77777777" w:rsidR="003C637A" w:rsidRDefault="0021379F">
      <w:pPr>
        <w:pStyle w:val="Heading2"/>
        <w:spacing w:before="260" w:after="120"/>
      </w:pPr>
      <w:r>
        <w:rPr>
          <w:rFonts w:ascii="Arial" w:eastAsia="Arial" w:hAnsi="Arial" w:cs="Arial"/>
          <w:b/>
          <w:bCs/>
          <w:color w:val="4A1942"/>
          <w:sz w:val="24"/>
          <w:szCs w:val="24"/>
        </w:rPr>
        <w:t>3.3  Subscription Revenue Simulation by Tier Mix</w:t>
      </w:r>
    </w:p>
    <w:p w14:paraId="4E9C356B" w14:textId="77777777" w:rsidR="003C637A" w:rsidRDefault="0021379F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The following simulation models Year 1 SaaS revenue under different assumptions about how the 15 pilot venues distribute across the three tiers.</w:t>
      </w:r>
    </w:p>
    <w:p w14:paraId="59BA1912" w14:textId="77777777" w:rsidR="003C637A" w:rsidRDefault="003C637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1200"/>
        <w:gridCol w:w="1200"/>
        <w:gridCol w:w="1680"/>
        <w:gridCol w:w="1680"/>
      </w:tblGrid>
      <w:tr w:rsidR="003C637A" w14:paraId="05885A5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60A127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Scenario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13384C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Starter Venues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63A15D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Standard Venues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3239E2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Premium Venues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E38FC8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Monthly Rev.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94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0FCF15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Annual Rev.</w:t>
            </w:r>
          </w:p>
        </w:tc>
      </w:tr>
      <w:tr w:rsidR="003C637A" w14:paraId="415774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FE328A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Conservative (all Starter)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E5B2CB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090DB4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5FAB2E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36AFB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$1,485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6FF0B0B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8B1A1A"/>
              </w:rPr>
              <w:t>$17,820</w:t>
            </w:r>
          </w:p>
        </w:tc>
      </w:tr>
      <w:tr w:rsidR="003C637A" w14:paraId="70CE67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1CFB43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Baseline (all Standard) 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E00BFD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38A9C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D6DC7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D5780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$2,985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6AB5D4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$35,820</w:t>
            </w:r>
          </w:p>
        </w:tc>
      </w:tr>
      <w:tr w:rsidR="003C637A" w14:paraId="46A775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6838E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Optimistic Mix (5/5/5)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E5C19A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5057A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3EBE63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1AC251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$3,235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9D7BE9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$38,820</w:t>
            </w:r>
          </w:p>
        </w:tc>
      </w:tr>
      <w:tr w:rsidR="003C637A" w14:paraId="40D7CD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4E0A7D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Upsell Scenario (3/7/5)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F51C8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533217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B5832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757776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$3,387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74D337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$40,644</w:t>
            </w:r>
          </w:p>
        </w:tc>
      </w:tr>
      <w:tr w:rsidR="003C637A" w14:paraId="53BD016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F9766E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Premium Heavy (0/5/10)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412FFA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DA77BE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307967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10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AE6C43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$4,485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17C2C51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$53,820</w:t>
            </w:r>
          </w:p>
        </w:tc>
      </w:tr>
      <w:tr w:rsidR="003C637A" w14:paraId="050953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ECC948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Year 1 Model Used (Baseline ★)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F28D58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256008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E1DE70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1F25C3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$2,985/mo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F870B9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$35,820</w:t>
            </w:r>
          </w:p>
        </w:tc>
      </w:tr>
    </w:tbl>
    <w:p w14:paraId="51D93873" w14:textId="77777777" w:rsidR="003C637A" w:rsidRDefault="003C637A">
      <w:pPr>
        <w:spacing w:before="100" w:after="100"/>
      </w:pPr>
    </w:p>
    <w:p w14:paraId="69A6082A" w14:textId="1238A8B7" w:rsidR="003C637A" w:rsidRDefault="0021379F" w:rsidP="00FE38AA">
      <w:pPr>
        <w:spacing w:before="80" w:after="80"/>
      </w:pPr>
      <w:r>
        <w:rPr>
          <w:rFonts w:ascii="Arial" w:eastAsia="Arial" w:hAnsi="Arial" w:cs="Arial"/>
          <w:i/>
          <w:iCs/>
          <w:color w:val="444444"/>
        </w:rPr>
        <w:t xml:space="preserve">Note: The original financial model used $35,880 (rounding). Revised figure is $35,820 based on $199 × 15 × 12. Difference </w:t>
      </w:r>
      <w:proofErr w:type="gramStart"/>
      <w:r>
        <w:rPr>
          <w:rFonts w:ascii="Arial" w:eastAsia="Arial" w:hAnsi="Arial" w:cs="Arial"/>
          <w:i/>
          <w:iCs/>
          <w:color w:val="444444"/>
        </w:rPr>
        <w:t>of</w:t>
      </w:r>
      <w:proofErr w:type="gramEnd"/>
      <w:r>
        <w:rPr>
          <w:rFonts w:ascii="Arial" w:eastAsia="Arial" w:hAnsi="Arial" w:cs="Arial"/>
          <w:i/>
          <w:iCs/>
          <w:color w:val="444444"/>
        </w:rPr>
        <w:t xml:space="preserve"> $60 is immaterial to the overall financial case.</w:t>
      </w:r>
    </w:p>
    <w:p w14:paraId="3644E7AB" w14:textId="28017D84" w:rsidR="003C637A" w:rsidRDefault="0021379F" w:rsidP="00CB7420">
      <w:pPr>
        <w:pStyle w:val="Heading1"/>
        <w:pBdr>
          <w:bottom w:val="single" w:sz="6" w:space="4" w:color="1A6B3C"/>
        </w:pBdr>
        <w:spacing w:before="360" w:after="180"/>
      </w:pPr>
      <w:r>
        <w:rPr>
          <w:rFonts w:ascii="Arial" w:eastAsia="Arial" w:hAnsi="Arial" w:cs="Arial"/>
          <w:b/>
          <w:bCs/>
          <w:color w:val="1B3A6B"/>
          <w:sz w:val="30"/>
          <w:szCs w:val="30"/>
        </w:rPr>
        <w:t xml:space="preserve">4. </w:t>
      </w:r>
      <w:r w:rsidR="00CB7420">
        <w:rPr>
          <w:rFonts w:ascii="Arial" w:eastAsia="Arial" w:hAnsi="Arial" w:cs="Arial"/>
          <w:b/>
          <w:bCs/>
          <w:color w:val="1B3A6B"/>
          <w:sz w:val="30"/>
          <w:szCs w:val="30"/>
        </w:rPr>
        <w:t>Sensitivity Analysis</w:t>
      </w:r>
    </w:p>
    <w:p w14:paraId="4FDB83D1" w14:textId="412F90A9" w:rsidR="003C637A" w:rsidRDefault="0021379F" w:rsidP="00106E51">
      <w:pPr>
        <w:pStyle w:val="Heading2"/>
        <w:spacing w:before="260" w:after="120"/>
      </w:pPr>
      <w:r>
        <w:rPr>
          <w:rFonts w:ascii="Arial" w:eastAsia="Arial" w:hAnsi="Arial" w:cs="Arial"/>
          <w:b/>
          <w:bCs/>
          <w:color w:val="1A6B3C"/>
          <w:sz w:val="24"/>
          <w:szCs w:val="24"/>
        </w:rPr>
        <w:t>4.</w:t>
      </w:r>
      <w:r w:rsidR="00CB7420">
        <w:rPr>
          <w:rFonts w:ascii="Arial" w:eastAsia="Arial" w:hAnsi="Arial" w:cs="Arial"/>
          <w:b/>
          <w:bCs/>
          <w:color w:val="1A6B3C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1A6B3C"/>
          <w:sz w:val="24"/>
          <w:szCs w:val="24"/>
        </w:rPr>
        <w:t xml:space="preserve"> Sensitivity Analysis — What Drives Profitability Most?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0"/>
        <w:gridCol w:w="2216"/>
        <w:gridCol w:w="1559"/>
        <w:gridCol w:w="1505"/>
        <w:gridCol w:w="1596"/>
        <w:gridCol w:w="1694"/>
      </w:tblGrid>
      <w:tr w:rsidR="003C637A" w14:paraId="5CCEC22C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5CC9A9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Rank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B12A72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Variable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B606EB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Conservative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34455B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Optimistic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5581C2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Δ Impact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5FD72E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Execution Risk</w:t>
            </w:r>
          </w:p>
        </w:tc>
      </w:tr>
      <w:tr w:rsidR="003C637A" w14:paraId="20F3F737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FBF04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3C67B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Government grant funding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62E418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D541B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$150,000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45D608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+$150,000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30A341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Medium</w:t>
            </w:r>
          </w:p>
        </w:tc>
      </w:tr>
      <w:tr w:rsidR="003C637A" w14:paraId="150A1F3F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5FC38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DD2E58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Advertising fill rate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47BC0F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$90,000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068057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$171,000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1764ADF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+$81,000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23088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Medium</w:t>
            </w:r>
          </w:p>
        </w:tc>
      </w:tr>
      <w:tr w:rsidR="003C637A" w14:paraId="1E62D3AF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5D7A5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2A82BD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B2B data licensing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E67C87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442827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$60,000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C5233B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+$60,000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E557B6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High</w:t>
            </w:r>
          </w:p>
        </w:tc>
      </w:tr>
      <w:tr w:rsidR="003C637A" w14:paraId="07E10391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5FAFFF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EFB82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SaaS subscription tier mix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78AD4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$11,424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9D237E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$40,644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674BF4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+$29,220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D9857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Low</w:t>
            </w:r>
          </w:p>
        </w:tc>
      </w:tr>
      <w:tr w:rsidR="003C637A" w14:paraId="0C255E07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52780A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D3F17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Number of kiosks deployed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E380A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12 units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CA79E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15 units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DB27AF7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+$18,000 est.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24217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Low</w:t>
            </w:r>
          </w:p>
        </w:tc>
      </w:tr>
      <w:tr w:rsidR="003C637A" w14:paraId="5005F109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94ED11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575355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Rideshare commissions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24B985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$2,000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EE14C3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$7,000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9F309E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+$5,000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18E495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Low</w:t>
            </w:r>
          </w:p>
        </w:tc>
      </w:tr>
    </w:tbl>
    <w:p w14:paraId="643AC7FB" w14:textId="77777777" w:rsidR="003C637A" w:rsidRDefault="0021379F">
      <w:pPr>
        <w:pStyle w:val="Heading1"/>
        <w:pBdr>
          <w:bottom w:val="single" w:sz="6" w:space="4" w:color="0D7377"/>
        </w:pBdr>
        <w:spacing w:before="360" w:after="180"/>
      </w:pPr>
      <w:r>
        <w:rPr>
          <w:rFonts w:ascii="Arial" w:eastAsia="Arial" w:hAnsi="Arial" w:cs="Arial"/>
          <w:b/>
          <w:bCs/>
          <w:color w:val="1B3A6B"/>
          <w:sz w:val="30"/>
          <w:szCs w:val="30"/>
        </w:rPr>
        <w:t>5. Social Return on Investment (Social ROI)</w:t>
      </w:r>
    </w:p>
    <w:p w14:paraId="3E16DC53" w14:textId="77777777" w:rsidR="003C637A" w:rsidRDefault="0021379F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Social ROI quantifies the public health and safety value generated by SafeNight SD beyond the financial return. Using NHTSA's published cost-of-crash methodology (DOT HS 813 403), the program's social value can be estimated based on DUI incidents prevented.</w:t>
      </w:r>
    </w:p>
    <w:p w14:paraId="0E0F2476" w14:textId="77777777" w:rsidR="003C637A" w:rsidRDefault="003C637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80"/>
        <w:gridCol w:w="1680"/>
        <w:gridCol w:w="3600"/>
      </w:tblGrid>
      <w:tr w:rsidR="003C637A" w14:paraId="7E88BAE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F68134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Scenario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C7ACE4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DUI Incidents Prevented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406A30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Social Value Generated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369897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Social ROI on $65K Investment</w:t>
            </w:r>
          </w:p>
        </w:tc>
      </w:tr>
      <w:tr w:rsidR="003C637A" w14:paraId="2810DB8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785A1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Conservative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25C49B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1 per year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5F43F62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$1,400,000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6305A9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21.5× ($1.4M ÷ $65K)</w:t>
            </w:r>
          </w:p>
        </w:tc>
      </w:tr>
      <w:tr w:rsidR="003C637A" w14:paraId="3413CA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C1AC9F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Realistic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08118D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3 per year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961421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$4,200,000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8F21E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64.6× ($4.2M ÷ $65K)</w:t>
            </w:r>
          </w:p>
        </w:tc>
      </w:tr>
      <w:tr w:rsidR="003C637A" w14:paraId="1A9B23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64D2DF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Optimistic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E9AB9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10 per year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6946C7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$14,000,000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CD2898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215× ($14M ÷ $65K)</w:t>
            </w:r>
          </w:p>
        </w:tc>
      </w:tr>
      <w:tr w:rsidR="003C637A" w14:paraId="0865136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9D0077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Combined Financial + Social ROI (Realistic)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27C566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3 incidents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CCB0AD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$4,567,820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A28F6D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70.3× total return on $65K</w:t>
            </w:r>
          </w:p>
        </w:tc>
      </w:tr>
    </w:tbl>
    <w:p w14:paraId="63F022C9" w14:textId="77777777" w:rsidR="003C637A" w:rsidRDefault="0021379F">
      <w:pPr>
        <w:spacing w:before="80" w:after="80"/>
      </w:pPr>
      <w:r>
        <w:rPr>
          <w:rFonts w:ascii="Arial" w:eastAsia="Arial" w:hAnsi="Arial" w:cs="Arial"/>
          <w:i/>
          <w:iCs/>
          <w:color w:val="444444"/>
        </w:rPr>
        <w:t>Source: NHTSA Traffic Safety Facts — The Economic and Societal Impact of U.S. Motor Vehicle Crashes (DOT HS 813 403). Cost-per-crash includes medical, legal, emergency response, lost productivity, and quality-of-life impact.</w:t>
      </w:r>
    </w:p>
    <w:p w14:paraId="7D7762F7" w14:textId="61AD6AA5" w:rsidR="003C637A" w:rsidRDefault="0021379F">
      <w:pPr>
        <w:pStyle w:val="Heading1"/>
        <w:pBdr>
          <w:bottom w:val="single" w:sz="6" w:space="4" w:color="0D7377"/>
        </w:pBdr>
        <w:spacing w:before="360" w:after="180"/>
      </w:pPr>
      <w:r>
        <w:rPr>
          <w:rFonts w:ascii="Arial" w:eastAsia="Arial" w:hAnsi="Arial" w:cs="Arial"/>
          <w:b/>
          <w:bCs/>
          <w:color w:val="1B3A6B"/>
          <w:sz w:val="30"/>
          <w:szCs w:val="30"/>
        </w:rPr>
        <w:t>6. Ve</w:t>
      </w:r>
      <w:r w:rsidR="00106E51">
        <w:rPr>
          <w:rFonts w:ascii="Arial" w:eastAsia="Arial" w:hAnsi="Arial" w:cs="Arial"/>
          <w:b/>
          <w:bCs/>
          <w:color w:val="1B3A6B"/>
          <w:sz w:val="30"/>
          <w:szCs w:val="30"/>
        </w:rPr>
        <w:t>n</w:t>
      </w:r>
      <w:r>
        <w:rPr>
          <w:rFonts w:ascii="Arial" w:eastAsia="Arial" w:hAnsi="Arial" w:cs="Arial"/>
          <w:b/>
          <w:bCs/>
          <w:color w:val="1B3A6B"/>
          <w:sz w:val="30"/>
          <w:szCs w:val="30"/>
        </w:rPr>
        <w:t>dor Evaluation Matrix</w:t>
      </w:r>
    </w:p>
    <w:p w14:paraId="2A938637" w14:textId="59935B66" w:rsidR="003C637A" w:rsidRDefault="0021379F" w:rsidP="009B2B10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Four vendors were evaluated against SafeNight SD's weighted criteria. The scoring model applies weightings based on the program's priority: hardware reliability is most critical for kiosk uptime; data/API capability enables the data licensing revenue stream; SLA quality protects the 95% uptime KPI.</w:t>
      </w:r>
    </w:p>
    <w:p w14:paraId="7890AAEB" w14:textId="77777777" w:rsidR="003C637A" w:rsidRDefault="0021379F">
      <w:pPr>
        <w:pStyle w:val="Heading2"/>
        <w:spacing w:before="260" w:after="120"/>
      </w:pPr>
      <w:proofErr w:type="gramStart"/>
      <w:r>
        <w:rPr>
          <w:rFonts w:ascii="Arial" w:eastAsia="Arial" w:hAnsi="Arial" w:cs="Arial"/>
          <w:b/>
          <w:bCs/>
          <w:color w:val="0D7377"/>
          <w:sz w:val="24"/>
          <w:szCs w:val="24"/>
        </w:rPr>
        <w:t>6.1  Weighted</w:t>
      </w:r>
      <w:proofErr w:type="gramEnd"/>
      <w:r>
        <w:rPr>
          <w:rFonts w:ascii="Arial" w:eastAsia="Arial" w:hAnsi="Arial" w:cs="Arial"/>
          <w:b/>
          <w:bCs/>
          <w:color w:val="0D7377"/>
          <w:sz w:val="24"/>
          <w:szCs w:val="24"/>
        </w:rPr>
        <w:t xml:space="preserve"> Scoring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9"/>
        <w:gridCol w:w="1212"/>
        <w:gridCol w:w="1123"/>
        <w:gridCol w:w="980"/>
        <w:gridCol w:w="1006"/>
        <w:gridCol w:w="1434"/>
        <w:gridCol w:w="1376"/>
      </w:tblGrid>
      <w:tr w:rsidR="003C637A" w14:paraId="7A128AF7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F9E963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Vendor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7B6A15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Hardware 30%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A18FC8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Data/API 25%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15B1B7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SLA 20%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4F8CF4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Price 15%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DF2D73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Compliance 10%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DF998E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Weighted Score</w:t>
            </w:r>
          </w:p>
        </w:tc>
      </w:tr>
      <w:tr w:rsidR="003C637A" w14:paraId="7F1F03CE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46A1048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BACtrack Solutions ★ Primary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FF6FF3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9/10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76964A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8/10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708CFE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9/10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DDCCA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8/10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002CF6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10/10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C97F21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8.85</w:t>
            </w:r>
          </w:p>
        </w:tc>
      </w:tr>
      <w:tr w:rsidR="003C637A" w14:paraId="56BC5E31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E1E87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AlcoHAWK Pro (Backup #1)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A066D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8/10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96FE41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7/10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A4F907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8/10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2F24D3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9/10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8948B7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9/10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B7797B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8.00</w:t>
            </w:r>
          </w:p>
        </w:tc>
      </w:tr>
      <w:tr w:rsidR="003C637A" w14:paraId="46B0B97B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7656F8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SmartStart Inc. (Backup #2)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F3216A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8/10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55B7A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9/10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A723FFA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7/10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0D4545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7/10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272DD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9/10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15D59D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8.00</w:t>
            </w:r>
          </w:p>
        </w:tc>
      </w:tr>
      <w:tr w:rsidR="003C637A" w14:paraId="650528F1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C88E8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KioskBrands Custom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10D1FF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7/10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54EE44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6/10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457D3F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7/10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E2ABD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10/10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E7E5D3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8/10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688D65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7.35</w:t>
            </w:r>
          </w:p>
        </w:tc>
      </w:tr>
    </w:tbl>
    <w:p w14:paraId="120089CF" w14:textId="77777777" w:rsidR="003C637A" w:rsidRDefault="003C637A">
      <w:pPr>
        <w:spacing w:before="100" w:after="100"/>
      </w:pPr>
    </w:p>
    <w:p w14:paraId="361CE531" w14:textId="73A788DF" w:rsidR="003C637A" w:rsidRDefault="0021379F" w:rsidP="00106E51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Weighted score calculation: (Hardware × 0.30) + (Data/API × 0.25) + (SLA × 0.20) + (Price × 0.15) + (Compliance × 0.10). BACtrack scores 8.85 — highest among all evaluated vendors.</w:t>
      </w:r>
    </w:p>
    <w:p w14:paraId="0D9164BE" w14:textId="77777777" w:rsidR="003C637A" w:rsidRDefault="0021379F">
      <w:pPr>
        <w:pStyle w:val="Heading2"/>
        <w:spacing w:before="260" w:after="120"/>
      </w:pPr>
      <w:proofErr w:type="gramStart"/>
      <w:r>
        <w:rPr>
          <w:rFonts w:ascii="Arial" w:eastAsia="Arial" w:hAnsi="Arial" w:cs="Arial"/>
          <w:b/>
          <w:bCs/>
          <w:color w:val="0D7377"/>
          <w:sz w:val="24"/>
          <w:szCs w:val="24"/>
        </w:rPr>
        <w:t>6.2  Vendor</w:t>
      </w:r>
      <w:proofErr w:type="gramEnd"/>
      <w:r>
        <w:rPr>
          <w:rFonts w:ascii="Arial" w:eastAsia="Arial" w:hAnsi="Arial" w:cs="Arial"/>
          <w:b/>
          <w:bCs/>
          <w:color w:val="0D7377"/>
          <w:sz w:val="24"/>
          <w:szCs w:val="24"/>
        </w:rPr>
        <w:t xml:space="preserve"> Cost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1560"/>
        <w:gridCol w:w="1560"/>
        <w:gridCol w:w="1560"/>
        <w:gridCol w:w="2160"/>
      </w:tblGrid>
      <w:tr w:rsidR="003C637A" w14:paraId="04A3EEBD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D27BA2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Vendor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DDA894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Unit Price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990E7C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15-Unit Cost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CD60EB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Annual SLA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0C0836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Year 1 Total (15 units)</w:t>
            </w:r>
          </w:p>
        </w:tc>
      </w:tr>
      <w:tr w:rsidR="003C637A" w14:paraId="0150808B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0A8A73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BACtrack Solutions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6E23AF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$2,500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5BDC78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$37,500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25D704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$7,500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B66BC0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1A6B3C"/>
              </w:rPr>
              <w:t>$45,000 + install</w:t>
            </w:r>
          </w:p>
        </w:tc>
      </w:tr>
      <w:tr w:rsidR="003C637A" w14:paraId="4F377B30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85FF52B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AlcoHAWK Pro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4D2D97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$2,200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FDADD5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$33,000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6984AF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$8,250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13E4A6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$41,250 + install</w:t>
            </w:r>
          </w:p>
        </w:tc>
      </w:tr>
      <w:tr w:rsidR="003C637A" w14:paraId="3D7AD286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7DB3D6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SmartStart Inc.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68D296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$2,800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63A705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$42,000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0B658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$6,000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439A13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$48,000 + install</w:t>
            </w:r>
          </w:p>
        </w:tc>
      </w:tr>
      <w:tr w:rsidR="003C637A" w14:paraId="12F70CE1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EB2FD4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lastRenderedPageBreak/>
              <w:t>KioskBrands Custom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96A6FD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$1,950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69122F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$29,250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F7E6C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$9,000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5C3F58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$38,250 + install</w:t>
            </w:r>
          </w:p>
        </w:tc>
      </w:tr>
    </w:tbl>
    <w:p w14:paraId="2AB5DB85" w14:textId="77777777" w:rsidR="003C637A" w:rsidRDefault="003C637A">
      <w:pPr>
        <w:spacing w:before="100" w:after="100"/>
      </w:pPr>
    </w:p>
    <w:p w14:paraId="1DB3579B" w14:textId="77777777" w:rsidR="003C637A" w:rsidRDefault="0021379F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BACtrack is not the cheapest option but delivers the highest weighted score. The $3,750 premium over AlcoHAWK is justified by superior hardware reliability (9 vs. 8) and full regulatory compliance (10 vs. 9), which directly protect the program's 95% uptime KPI and grant eligibility.</w:t>
      </w:r>
    </w:p>
    <w:p w14:paraId="737AFE9F" w14:textId="77777777" w:rsidR="003C637A" w:rsidRDefault="0021379F">
      <w:pPr>
        <w:pStyle w:val="Heading1"/>
        <w:pBdr>
          <w:bottom w:val="single" w:sz="6" w:space="4" w:color="0D7377"/>
        </w:pBdr>
        <w:spacing w:before="360" w:after="180"/>
      </w:pPr>
      <w:r>
        <w:rPr>
          <w:rFonts w:ascii="Arial" w:eastAsia="Arial" w:hAnsi="Arial" w:cs="Arial"/>
          <w:b/>
          <w:bCs/>
          <w:color w:val="1B3A6B"/>
          <w:sz w:val="30"/>
          <w:szCs w:val="30"/>
        </w:rPr>
        <w:t>7. Vendor Requirements — Mandatory RFP Criteria</w:t>
      </w:r>
    </w:p>
    <w:p w14:paraId="50871099" w14:textId="77777777" w:rsidR="003C637A" w:rsidRDefault="0021379F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All vendors responding to the SafeNight SD Request for Proposals must satisfy the following criteria. Failure to meet any mandatory requirement results in automatic disqualification from the evaluation process.</w:t>
      </w:r>
    </w:p>
    <w:p w14:paraId="68949AB7" w14:textId="77777777" w:rsidR="003C637A" w:rsidRDefault="003C637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2"/>
        <w:gridCol w:w="5355"/>
        <w:gridCol w:w="1798"/>
        <w:gridCol w:w="1795"/>
      </w:tblGrid>
      <w:tr w:rsidR="003C637A" w14:paraId="171AF3E0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005638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F85FDC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Mandatory Requirement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8259A1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Verification 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B5661B" w14:textId="77777777" w:rsidR="003C637A" w:rsidRDefault="0021379F">
            <w:r>
              <w:rPr>
                <w:rFonts w:ascii="Arial" w:eastAsia="Arial" w:hAnsi="Arial" w:cs="Arial"/>
                <w:b/>
                <w:bCs/>
                <w:color w:val="FFFFFF"/>
              </w:rPr>
              <w:t>Linked KPI</w:t>
            </w:r>
          </w:p>
        </w:tc>
      </w:tr>
      <w:tr w:rsidR="003C637A" w14:paraId="284F5EDE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0A9898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8CA5E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Real-time uptime monitoring dashboard accessible by program coordinator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C49E73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Live demo during evaluation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FF96F7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95% uptime KPI</w:t>
            </w:r>
          </w:p>
        </w:tc>
      </w:tr>
      <w:tr w:rsidR="003C637A" w14:paraId="36E2730E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F73C06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C66FB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API-accessible usage data export (JSON or CSV format, minimum daily frequency)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B7DE61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API documentation 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DAD32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Data licensing revenue</w:t>
            </w:r>
          </w:p>
        </w:tc>
      </w:tr>
      <w:tr w:rsidR="003C637A" w14:paraId="53704946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64B74B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D8934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Proven deployment history: minimum 3 prior bar-district or public venue installations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97259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Reference checks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E8A1C66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Reliability assurance</w:t>
            </w:r>
          </w:p>
        </w:tc>
      </w:tr>
      <w:tr w:rsidR="003C637A" w14:paraId="24F59107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B7E291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7B89E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SLA with maximum 48-hour on-site response for equipment failures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652EDF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SLA document 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C3C1FB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95% uptime KPI</w:t>
            </w:r>
          </w:p>
        </w:tc>
      </w:tr>
      <w:tr w:rsidR="003C637A" w14:paraId="266EC2E9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C98F68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8F8F2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Single-use FDA-cleared mouthpieces with bulk supply contract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72B2B0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FDA clearance certificate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3DF1B7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Hygiene &amp; compliance</w:t>
            </w:r>
          </w:p>
        </w:tc>
      </w:tr>
      <w:tr w:rsidR="003C637A" w14:paraId="5CD90BB4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383ECA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6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CD6C34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Cellular data connectivity bundled in contract (no third-party carrier required)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DBCCFC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Contract term 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7CABD6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Cost containment</w:t>
            </w:r>
          </w:p>
        </w:tc>
      </w:tr>
      <w:tr w:rsidR="003C637A" w14:paraId="7A54188A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A2E5DD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7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59113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Compliance with California Department of Motor Vehicles breathalyzer accuracy standards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F68B8E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CA DMV certification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5483E1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Legal compliance</w:t>
            </w:r>
          </w:p>
        </w:tc>
      </w:tr>
      <w:tr w:rsidR="003C637A" w14:paraId="0E3407C9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3E631E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8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F6D287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Insurance certificate: minimum $2M general liability coverage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B69B1A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COI on 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68F2B7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Risk mitigation</w:t>
            </w:r>
          </w:p>
        </w:tc>
      </w:tr>
      <w:tr w:rsidR="003C637A" w14:paraId="00C9848A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1B716C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9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DB4069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Bar venue subscription support: vendor must provide co-branded reporting exports compatible with SaaS subscription tier deliverables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42BF82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Sample report 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B99D05" w14:textId="77777777" w:rsidR="003C637A" w:rsidRDefault="0021379F">
            <w:r>
              <w:rPr>
                <w:rFonts w:ascii="Arial" w:eastAsia="Arial" w:hAnsi="Arial" w:cs="Arial"/>
                <w:color w:val="1A1A2E"/>
              </w:rPr>
              <w:t>SaaS revenue stream</w:t>
            </w:r>
          </w:p>
        </w:tc>
      </w:tr>
    </w:tbl>
    <w:p w14:paraId="6AFEC052" w14:textId="25BC0186" w:rsidR="008E26EE" w:rsidRPr="00364BCD" w:rsidRDefault="008E26EE" w:rsidP="008E26EE">
      <w:pPr>
        <w:pStyle w:val="Heading1"/>
        <w:pBdr>
          <w:bottom w:val="single" w:sz="6" w:space="4" w:color="0D7377"/>
        </w:pBdr>
        <w:spacing w:before="360" w:after="180"/>
        <w:rPr>
          <w:rFonts w:ascii="Arial" w:eastAsia="Arial" w:hAnsi="Arial" w:cs="Arial"/>
          <w:b/>
          <w:bCs/>
          <w:color w:val="1B3A6B"/>
          <w:sz w:val="30"/>
          <w:szCs w:val="30"/>
        </w:rPr>
      </w:pPr>
      <w:r>
        <w:rPr>
          <w:rFonts w:ascii="Arial" w:eastAsia="Arial" w:hAnsi="Arial" w:cs="Arial"/>
          <w:b/>
          <w:bCs/>
          <w:color w:val="1B3A6B"/>
          <w:sz w:val="30"/>
          <w:szCs w:val="30"/>
        </w:rPr>
        <w:t xml:space="preserve">7. </w:t>
      </w:r>
      <w:r>
        <w:rPr>
          <w:rFonts w:ascii="Arial" w:eastAsia="Arial" w:hAnsi="Arial" w:cs="Arial"/>
          <w:b/>
          <w:bCs/>
          <w:color w:val="1B3A6B"/>
          <w:sz w:val="30"/>
          <w:szCs w:val="30"/>
        </w:rPr>
        <w:t>References</w:t>
      </w:r>
    </w:p>
    <w:p w14:paraId="002C9439" w14:textId="0BCD56B2" w:rsidR="008E26EE" w:rsidRDefault="008E26EE" w:rsidP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>
        <w:rPr>
          <w:rFonts w:ascii="Arial" w:eastAsia="Arial" w:hAnsi="Arial" w:cs="Arial"/>
          <w:color w:val="1A1A2E"/>
          <w:sz w:val="22"/>
          <w:szCs w:val="22"/>
        </w:rPr>
        <w:t xml:space="preserve">18 sources that are publicly accessible to support our cost analysis are as follows: </w:t>
      </w:r>
    </w:p>
    <w:p w14:paraId="6F446133" w14:textId="77777777" w:rsidR="00745F4D" w:rsidRDefault="00745F4D" w:rsidP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</w:p>
    <w:p w14:paraId="03A8974E" w14:textId="77777777" w:rsidR="00364BCD" w:rsidRDefault="00364BCD" w:rsidP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</w:p>
    <w:p w14:paraId="1CEC4401" w14:textId="770C9FEC" w:rsidR="008E26EE" w:rsidRDefault="008E26EE" w:rsidP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lastRenderedPageBreak/>
        <w:t>1]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Blincoe, L. et al. (2023). </w:t>
      </w:r>
      <w:r w:rsidRPr="008E26EE">
        <w:rPr>
          <w:rFonts w:ascii="Arial" w:eastAsia="Arial" w:hAnsi="Arial" w:cs="Arial"/>
          <w:i/>
          <w:iCs/>
          <w:color w:val="1A1A2E"/>
          <w:sz w:val="22"/>
          <w:szCs w:val="22"/>
        </w:rPr>
        <w:t>The Economic and Societal Impact of Motor Vehicle Crashes, 2019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(Report No. DOT HS 813 403). National Highway Traffic Safety Administration. The report places total U.S. crash costs in 2019 at $340 billion. URL: </w:t>
      </w:r>
      <w:hyperlink r:id="rId7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https://crashstats.nhtsa.dot.gov/Api/Public/ViewPublication/813403.pdf</w:t>
        </w:r>
      </w:hyperlink>
    </w:p>
    <w:p w14:paraId="362809C3" w14:textId="56D43878" w:rsidR="008E26EE" w:rsidRDefault="008E26EE" w:rsidP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t>[2]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The total value of societal harm from motor vehicle crashes in 2019, which includes loss of life, pain, and decreased quality of life, was nearly $1.4 trillion — the figure </w:t>
      </w:r>
      <w:proofErr w:type="spellStart"/>
      <w:r w:rsidRPr="008E26EE">
        <w:rPr>
          <w:rFonts w:ascii="Arial" w:eastAsia="Arial" w:hAnsi="Arial" w:cs="Arial"/>
          <w:color w:val="1A1A2E"/>
          <w:sz w:val="22"/>
          <w:szCs w:val="22"/>
        </w:rPr>
        <w:t>SafeNight</w:t>
      </w:r>
      <w:proofErr w:type="spellEnd"/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SD uses to calculate its Social ROI per prevented fatal DUI incident. URL: </w:t>
      </w:r>
      <w:hyperlink r:id="rId8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https://downloads.regulations.gov/NHTSA-2024-0100-0018/attachment_1.pdf</w:t>
        </w:r>
      </w:hyperlink>
    </w:p>
    <w:p w14:paraId="66951AE9" w14:textId="3A600DAE" w:rsidR="008E26EE" w:rsidRDefault="008E26EE" w:rsidP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[</w:t>
      </w: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t>3]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NHTSA's National Center for Statistics and Analysis. (2025, May). </w:t>
      </w:r>
      <w:r w:rsidRPr="008E26EE">
        <w:rPr>
          <w:rFonts w:ascii="Arial" w:eastAsia="Arial" w:hAnsi="Arial" w:cs="Arial"/>
          <w:i/>
          <w:iCs/>
          <w:color w:val="1A1A2E"/>
          <w:sz w:val="22"/>
          <w:szCs w:val="22"/>
        </w:rPr>
        <w:t>Alcohol-Impaired Driving: 2023 Data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(Report No. DOT HS 813 713). Of the 40,901 traffic fatalities in 2023, an estimated 12,429 people (30%) were killed in alcohol-impaired-driving crashes. The estimated economic cost of alcohol-impaired crashes was $58 billion. URL: </w:t>
      </w:r>
      <w:hyperlink r:id="rId9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https://crashstats.nhtsa.dot.gov/Api/Public/Publication/813713</w:t>
        </w:r>
      </w:hyperlink>
    </w:p>
    <w:p w14:paraId="0DA5E86F" w14:textId="77777777" w:rsidR="008E26EE" w:rsidRDefault="008E26EE" w:rsidP="008E26EE">
      <w:pPr>
        <w:spacing w:before="80" w:after="80"/>
        <w:rPr>
          <w:b/>
          <w:bCs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t>[4]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NHTSA's </w:t>
      </w:r>
      <w:r w:rsidRPr="008E26EE">
        <w:rPr>
          <w:rFonts w:ascii="Arial" w:eastAsia="Arial" w:hAnsi="Arial" w:cs="Arial"/>
          <w:i/>
          <w:iCs/>
          <w:color w:val="1A1A2E"/>
          <w:sz w:val="22"/>
          <w:szCs w:val="22"/>
        </w:rPr>
        <w:t>Advanced Impaired Driving Prevention Technology Report to Congress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(2026) cites a comprehensive economic cost of approximately $14.1 million per fatality — supporting the per-incident Social ROI calculation used in the model. URL: </w:t>
      </w:r>
      <w:hyperlink r:id="rId10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https://www.nhtsa.gov/sites/nhtsa.gov/files/2026-03/Report-to-Congress-Advanced-Impaired-Driving-Prevention-Technology.pdf</w:t>
        </w:r>
      </w:hyperlink>
      <w:r w:rsidRPr="008E26EE">
        <w:rPr>
          <w:b/>
          <w:bCs/>
        </w:rPr>
        <w:t xml:space="preserve"> </w:t>
      </w:r>
    </w:p>
    <w:p w14:paraId="23D2C2D6" w14:textId="20FFBA97" w:rsidR="003C637A" w:rsidRDefault="008E26EE" w:rsidP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t>[5]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DUI arrests in the San Diego region totaled 2,269 for just the first six months of 2024, according to SANDAG's mid-year crime report — validating the 2,100+ annual arrest figure used in the project's problem statement. URL: </w:t>
      </w:r>
      <w:hyperlink r:id="rId11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https://mybailhotline.com/2024/10/san-diego-arrest-reason-stats/</w:t>
        </w:r>
      </w:hyperlink>
    </w:p>
    <w:p w14:paraId="1A41BB8E" w14:textId="3E31B2C7" w:rsidR="008E26EE" w:rsidRDefault="008E26EE" w:rsidP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t>[6]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SANDAG. (February 2025). </w:t>
      </w:r>
      <w:r w:rsidRPr="008E26EE">
        <w:rPr>
          <w:rFonts w:ascii="Arial" w:eastAsia="Arial" w:hAnsi="Arial" w:cs="Arial"/>
          <w:i/>
          <w:iCs/>
          <w:color w:val="1A1A2E"/>
          <w:sz w:val="22"/>
          <w:szCs w:val="22"/>
        </w:rPr>
        <w:t>Arrests 2023: Law Enforcement Response to Crime in the San Diego Region.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San Diego Association of Governments Criminal Justice Research Clearinghouse. URL: </w:t>
      </w:r>
      <w:hyperlink r:id="rId12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https://www.sandag.org/data-and-research/criminal-justice-and-public-safety/criminal-justice-research-and-clearinghouse</w:t>
        </w:r>
      </w:hyperlink>
    </w:p>
    <w:p w14:paraId="5777DC85" w14:textId="2C53C40B" w:rsidR="008E26EE" w:rsidRDefault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t>[7]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City of San Diego Police Department. (2024). </w:t>
      </w:r>
      <w:r w:rsidRPr="008E26EE">
        <w:rPr>
          <w:rFonts w:ascii="Arial" w:eastAsia="Arial" w:hAnsi="Arial" w:cs="Arial"/>
          <w:i/>
          <w:iCs/>
          <w:color w:val="1A1A2E"/>
          <w:sz w:val="22"/>
          <w:szCs w:val="22"/>
        </w:rPr>
        <w:t>City of San Diego Annual Crime Report — January–December 2023.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SDPD Data Transparency. URL: </w:t>
      </w:r>
      <w:hyperlink r:id="rId13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https://www.sandiego.gov/police/data-transparency/crime-statistics/annual-crime-reports</w:t>
        </w:r>
      </w:hyperlink>
    </w:p>
    <w:p w14:paraId="73B63919" w14:textId="1CEC6AD3" w:rsidR="008E26EE" w:rsidRDefault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t>[8]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California Office of Traffic Safety. </w:t>
      </w:r>
      <w:r w:rsidRPr="008E26EE">
        <w:rPr>
          <w:rFonts w:ascii="Arial" w:eastAsia="Arial" w:hAnsi="Arial" w:cs="Arial"/>
          <w:i/>
          <w:iCs/>
          <w:color w:val="1A1A2E"/>
          <w:sz w:val="22"/>
          <w:szCs w:val="22"/>
        </w:rPr>
        <w:t>Grants Program.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Public entities are eligible to submit applications for OTS funding; 501(c)(3) nonprofits require a public entity as a grant host. Applications are submitted by January 31st through the Grants Electronic Management System. URL: </w:t>
      </w:r>
      <w:hyperlink r:id="rId14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https://www.ots.ca.gov/grants/</w:t>
        </w:r>
      </w:hyperlink>
    </w:p>
    <w:p w14:paraId="20204B75" w14:textId="67D75CF5" w:rsidR="008E26EE" w:rsidRDefault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t>[9]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In November 2025, the California OTS — through NHTSA — awarded a $2.2 million grant to the Los Angeles County District Attorney's Office for DUI and vehicular homicide prosecution and training, demonstrating the scale of active OTS grant disbursements in California. URL: </w:t>
      </w:r>
      <w:hyperlink r:id="rId15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https://da.lacounty.gov/media/news/los-angeles-county-district-attorneys-office-awarded-22-million-ots-grant-dui-and</w:t>
        </w:r>
      </w:hyperlink>
    </w:p>
    <w:p w14:paraId="43041D9F" w14:textId="16413E3E" w:rsidR="008E26EE" w:rsidRDefault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t>[10]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Governors Highway Safety Association. </w:t>
      </w:r>
      <w:r w:rsidRPr="008E26EE">
        <w:rPr>
          <w:rFonts w:ascii="Arial" w:eastAsia="Arial" w:hAnsi="Arial" w:cs="Arial"/>
          <w:i/>
          <w:iCs/>
          <w:color w:val="1A1A2E"/>
          <w:sz w:val="22"/>
          <w:szCs w:val="22"/>
        </w:rPr>
        <w:t>Section 405: National Priority Safety Program.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All Section 405 programs are administered by NHTSA at the federal level and State Highway Safety Offices at the state level, each with its own eligibility criteria. URL: </w:t>
      </w:r>
      <w:hyperlink r:id="rId16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https://www.ghsa.org/resource-hub/section-405-national-priority-safety-program</w:t>
        </w:r>
      </w:hyperlink>
    </w:p>
    <w:p w14:paraId="2AE8178D" w14:textId="756C6C34" w:rsidR="008E26EE" w:rsidRDefault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t>[11]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23 CFR § 1300.23 — </w:t>
      </w:r>
      <w:r w:rsidRPr="008E26EE">
        <w:rPr>
          <w:rFonts w:ascii="Arial" w:eastAsia="Arial" w:hAnsi="Arial" w:cs="Arial"/>
          <w:i/>
          <w:iCs/>
          <w:color w:val="1A1A2E"/>
          <w:sz w:val="22"/>
          <w:szCs w:val="22"/>
        </w:rPr>
        <w:t>Impaired Driving Countermeasures Grants.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Federal regulation governing NHTSA Section 405(d) grant eligibility, application requirements, and allowable uses of funds for impaired driving programs. URL: </w:t>
      </w:r>
      <w:hyperlink r:id="rId17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https://www.ecfr.gov/current/title-23/chapter-III/part-1300/subpart-C/section-1300.23</w:t>
        </w:r>
      </w:hyperlink>
    </w:p>
    <w:p w14:paraId="02848D1C" w14:textId="4A854B80" w:rsidR="008E26EE" w:rsidRDefault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t>[12]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Lyft. </w:t>
      </w:r>
      <w:r w:rsidRPr="008E26EE">
        <w:rPr>
          <w:rFonts w:ascii="Arial" w:eastAsia="Arial" w:hAnsi="Arial" w:cs="Arial"/>
          <w:i/>
          <w:iCs/>
          <w:color w:val="1A1A2E"/>
          <w:sz w:val="22"/>
          <w:szCs w:val="22"/>
        </w:rPr>
        <w:t>DUI Reductions.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Across the U.S., rideshare has been associated with an 11.4% decrease in alcohol-involved fatal crashes. Research shows that when Lyft enters a market, ride volumes increase and DUI incidents decrease. URL: </w:t>
      </w:r>
      <w:hyperlink r:id="rId18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https://www.lyft.com/impact/dui-reductions</w:t>
        </w:r>
      </w:hyperlink>
    </w:p>
    <w:p w14:paraId="5D878707" w14:textId="387DE455" w:rsidR="008E26EE" w:rsidRDefault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lastRenderedPageBreak/>
        <w:t>[13]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Lyft's 2023 Economic Report found that 49% of Lyft riders are aged 18 to 34 — the demographic involved in nearly half of all alcohol-involved fatal crashes — and 63% of that group reported using Lyft when planning to drink. URL: </w:t>
      </w:r>
      <w:hyperlink r:id="rId19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https://www.lyft.com/blog/posts/has-rideshare-changed-bostons-drunk-driving-rates</w:t>
        </w:r>
      </w:hyperlink>
    </w:p>
    <w:p w14:paraId="0AB2C6A8" w14:textId="31DCE898" w:rsidR="008E26EE" w:rsidRDefault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t>[14]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Conner, C.R. et al. (2021). "Association of Rideshare Use </w:t>
      </w:r>
      <w:proofErr w:type="gramStart"/>
      <w:r w:rsidRPr="008E26EE">
        <w:rPr>
          <w:rFonts w:ascii="Arial" w:eastAsia="Arial" w:hAnsi="Arial" w:cs="Arial"/>
          <w:color w:val="1A1A2E"/>
          <w:sz w:val="22"/>
          <w:szCs w:val="22"/>
        </w:rPr>
        <w:t>With</w:t>
      </w:r>
      <w:proofErr w:type="gramEnd"/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Alcohol-Associated Motor Vehicle Crash Trauma." </w:t>
      </w:r>
      <w:r w:rsidRPr="008E26EE">
        <w:rPr>
          <w:rFonts w:ascii="Arial" w:eastAsia="Arial" w:hAnsi="Arial" w:cs="Arial"/>
          <w:i/>
          <w:iCs/>
          <w:color w:val="1A1A2E"/>
          <w:sz w:val="22"/>
          <w:szCs w:val="22"/>
        </w:rPr>
        <w:t>JAMA Surgery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, 156(8):731–738. Rideshare volume had a significant negative correlation with motor vehicle trauma incidence, most evident in those under 30. URL: </w:t>
      </w:r>
      <w:hyperlink r:id="rId20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https://www.ncbi.nlm.nih.gov/pmc/articles/PMC8190695/</w:t>
        </w:r>
      </w:hyperlink>
    </w:p>
    <w:p w14:paraId="15681790" w14:textId="27E357E8" w:rsidR="008E26EE" w:rsidRDefault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t>[15]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DUI arrests decreased up to 53% after rideshare introduction in Boston, Worcester, and Northampton, MA, per a National District Attorneys Association study. Houston saw a 23.8% decrease in motor vehicle collision traumas on Friday/Saturday nights after Uber arrived. URL: </w:t>
      </w:r>
      <w:hyperlink r:id="rId21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https://www.makemyreceipt.com/reports/rideshare-transportation-expense-statistics</w:t>
        </w:r>
      </w:hyperlink>
    </w:p>
    <w:p w14:paraId="22B747AC" w14:textId="2A17E29C" w:rsidR="008E26EE" w:rsidRDefault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t>[16]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 w:rsidRPr="008E26EE">
        <w:rPr>
          <w:rFonts w:ascii="Arial" w:eastAsia="Arial" w:hAnsi="Arial" w:cs="Arial"/>
          <w:color w:val="1A1A2E"/>
          <w:sz w:val="22"/>
          <w:szCs w:val="22"/>
        </w:rPr>
        <w:t>BACtrack</w:t>
      </w:r>
      <w:proofErr w:type="spellEnd"/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was founded in 2001 and received FDA marketing clearance in 2004. It was among the first companies to sell breathalyzers to the </w:t>
      </w:r>
      <w:proofErr w:type="gramStart"/>
      <w:r w:rsidRPr="008E26EE">
        <w:rPr>
          <w:rFonts w:ascii="Arial" w:eastAsia="Arial" w:hAnsi="Arial" w:cs="Arial"/>
          <w:color w:val="1A1A2E"/>
          <w:sz w:val="22"/>
          <w:szCs w:val="22"/>
        </w:rPr>
        <w:t>general public</w:t>
      </w:r>
      <w:proofErr w:type="gramEnd"/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for personal use and has devices sold in over 20,000 stores and 25 countries worldwide. URL: </w:t>
      </w:r>
      <w:hyperlink r:id="rId22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https://en.wikipedia.org/wiki/BACtrack</w:t>
        </w:r>
      </w:hyperlink>
    </w:p>
    <w:p w14:paraId="167383B9" w14:textId="4E0F6B4B" w:rsidR="008E26EE" w:rsidRDefault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t>[17]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 w:rsidRPr="008E26EE">
        <w:rPr>
          <w:rFonts w:ascii="Arial" w:eastAsia="Arial" w:hAnsi="Arial" w:cs="Arial"/>
          <w:color w:val="1A1A2E"/>
          <w:sz w:val="22"/>
          <w:szCs w:val="22"/>
        </w:rPr>
        <w:t>BACtrack</w:t>
      </w:r>
      <w:proofErr w:type="spellEnd"/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S80 is DOT &amp; NHTSA Approved and FDA 510(k) Cleared, using professional-grade fuel cell sensor technology. Independent agencies have tested popular personal breathalyzer brands and found </w:t>
      </w:r>
      <w:proofErr w:type="spellStart"/>
      <w:r w:rsidRPr="008E26EE">
        <w:rPr>
          <w:rFonts w:ascii="Arial" w:eastAsia="Arial" w:hAnsi="Arial" w:cs="Arial"/>
          <w:color w:val="1A1A2E"/>
          <w:sz w:val="22"/>
          <w:szCs w:val="22"/>
        </w:rPr>
        <w:t>BACtrack</w:t>
      </w:r>
      <w:proofErr w:type="spellEnd"/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to be the most accurate. URL: </w:t>
      </w:r>
      <w:hyperlink r:id="rId23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https://www.amazon.com/BACtrack-Breathalyzer-Professional-Grade-Accuracy-Professional/dp/B0026IBZSK</w:t>
        </w:r>
      </w:hyperlink>
    </w:p>
    <w:p w14:paraId="3E63ED82" w14:textId="60D7D50C" w:rsidR="008E26EE" w:rsidRPr="008E26EE" w:rsidRDefault="008E26EE">
      <w:pPr>
        <w:spacing w:before="80" w:after="80"/>
        <w:rPr>
          <w:rFonts w:ascii="Arial" w:eastAsia="Arial" w:hAnsi="Arial" w:cs="Arial"/>
          <w:color w:val="1A1A2E"/>
          <w:sz w:val="22"/>
          <w:szCs w:val="22"/>
        </w:rPr>
      </w:pPr>
      <w:r w:rsidRPr="008E26EE">
        <w:rPr>
          <w:rFonts w:ascii="Arial" w:eastAsia="Arial" w:hAnsi="Arial" w:cs="Arial"/>
          <w:b/>
          <w:bCs/>
          <w:color w:val="1A1A2E"/>
          <w:sz w:val="22"/>
          <w:szCs w:val="22"/>
        </w:rPr>
        <w:t>[18]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</w:t>
      </w:r>
      <w:proofErr w:type="spellStart"/>
      <w:r w:rsidRPr="008E26EE">
        <w:rPr>
          <w:rFonts w:ascii="Arial" w:eastAsia="Arial" w:hAnsi="Arial" w:cs="Arial"/>
          <w:color w:val="1A1A2E"/>
          <w:sz w:val="22"/>
          <w:szCs w:val="22"/>
        </w:rPr>
        <w:t>BACtrack</w:t>
      </w:r>
      <w:proofErr w:type="spellEnd"/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Official Store. </w:t>
      </w:r>
      <w:r w:rsidRPr="008E26EE">
        <w:rPr>
          <w:rFonts w:ascii="Arial" w:eastAsia="Arial" w:hAnsi="Arial" w:cs="Arial"/>
          <w:i/>
          <w:iCs/>
          <w:color w:val="1A1A2E"/>
          <w:sz w:val="22"/>
          <w:szCs w:val="22"/>
        </w:rPr>
        <w:t>All Breathalyzers.</w:t>
      </w:r>
      <w:r w:rsidRPr="008E26EE">
        <w:rPr>
          <w:rFonts w:ascii="Arial" w:eastAsia="Arial" w:hAnsi="Arial" w:cs="Arial"/>
          <w:color w:val="1A1A2E"/>
          <w:sz w:val="22"/>
          <w:szCs w:val="22"/>
        </w:rPr>
        <w:t xml:space="preserve"> Product catalog with specifications and pricing. URL: </w:t>
      </w:r>
      <w:hyperlink r:id="rId24" w:history="1">
        <w:r w:rsidRPr="008E26EE">
          <w:rPr>
            <w:rStyle w:val="Hyperlink"/>
            <w:rFonts w:ascii="Arial" w:eastAsia="Arial" w:hAnsi="Arial" w:cs="Arial"/>
            <w:sz w:val="22"/>
            <w:szCs w:val="22"/>
          </w:rPr>
          <w:t>https://www.bactrack.com/collections/all-breathalyzers</w:t>
        </w:r>
      </w:hyperlink>
    </w:p>
    <w:sectPr w:rsidR="008E26EE" w:rsidRPr="008E26EE">
      <w:headerReference w:type="default" r:id="rId25"/>
      <w:footerReference w:type="default" r:id="rId26"/>
      <w:pgSz w:w="12240" w:h="15840"/>
      <w:pgMar w:top="1320" w:right="1260" w:bottom="132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5542A" w14:textId="77777777" w:rsidR="001D2B01" w:rsidRDefault="001D2B01">
      <w:r>
        <w:separator/>
      </w:r>
    </w:p>
  </w:endnote>
  <w:endnote w:type="continuationSeparator" w:id="0">
    <w:p w14:paraId="53F10A82" w14:textId="77777777" w:rsidR="001D2B01" w:rsidRDefault="001D2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B2B8A" w14:textId="77777777" w:rsidR="003C637A" w:rsidRDefault="0021379F">
    <w:pPr>
      <w:pBdr>
        <w:top w:val="single" w:sz="2" w:space="4" w:color="CCCCCC"/>
      </w:pBdr>
      <w:tabs>
        <w:tab w:val="right" w:pos="9360"/>
      </w:tabs>
    </w:pPr>
    <w:r>
      <w:rPr>
        <w:rFonts w:ascii="Arial" w:eastAsia="Arial" w:hAnsi="Arial" w:cs="Arial"/>
        <w:color w:val="888888"/>
        <w:sz w:val="18"/>
        <w:szCs w:val="18"/>
      </w:rPr>
      <w:t>SafeNight SD — Enhanced Cost Analysis &amp; Vendor Selection</w:t>
    </w:r>
    <w:r>
      <w:rPr>
        <w:rFonts w:ascii="Arial" w:eastAsia="Arial" w:hAnsi="Arial" w:cs="Arial"/>
        <w:color w:val="888888"/>
        <w:sz w:val="18"/>
        <w:szCs w:val="18"/>
      </w:rPr>
      <w:tab/>
      <w:t xml:space="preserve">Page </w:t>
    </w:r>
    <w:r>
      <w:rPr>
        <w:rFonts w:ascii="Arial" w:eastAsia="Arial" w:hAnsi="Arial" w:cs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9F2A8" w14:textId="77777777" w:rsidR="001D2B01" w:rsidRDefault="001D2B01">
      <w:r>
        <w:separator/>
      </w:r>
    </w:p>
  </w:footnote>
  <w:footnote w:type="continuationSeparator" w:id="0">
    <w:p w14:paraId="4353CA3B" w14:textId="77777777" w:rsidR="001D2B01" w:rsidRDefault="001D2B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89070" w14:textId="77777777" w:rsidR="003C637A" w:rsidRDefault="0021379F">
    <w:pPr>
      <w:shd w:val="clear" w:color="auto" w:fill="1B3A6B"/>
    </w:pPr>
    <w:r>
      <w:rPr>
        <w:rFonts w:ascii="Arial" w:eastAsia="Arial" w:hAnsi="Arial" w:cs="Arial"/>
        <w:b/>
        <w:bCs/>
        <w:color w:val="FFFFFF"/>
        <w:sz w:val="21"/>
        <w:szCs w:val="21"/>
      </w:rPr>
      <w:t xml:space="preserve">  SafeNight SD  |  Enhanced Cost Analysis, Simulations &amp; Vendor Selection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36CFF"/>
    <w:multiLevelType w:val="hybridMultilevel"/>
    <w:tmpl w:val="6CDCB402"/>
    <w:lvl w:ilvl="0" w:tplc="5F16506C">
      <w:start w:val="1"/>
      <w:numFmt w:val="bullet"/>
      <w:lvlText w:val="•"/>
      <w:lvlJc w:val="left"/>
      <w:pPr>
        <w:ind w:left="720" w:hanging="360"/>
      </w:pPr>
    </w:lvl>
    <w:lvl w:ilvl="1" w:tplc="9F52BF48">
      <w:start w:val="1"/>
      <w:numFmt w:val="bullet"/>
      <w:lvlText w:val="○"/>
      <w:lvlJc w:val="left"/>
      <w:pPr>
        <w:ind w:left="1080" w:hanging="360"/>
      </w:pPr>
    </w:lvl>
    <w:lvl w:ilvl="2" w:tplc="AB6CF2F4">
      <w:numFmt w:val="decimal"/>
      <w:lvlText w:val=""/>
      <w:lvlJc w:val="left"/>
    </w:lvl>
    <w:lvl w:ilvl="3" w:tplc="225681E6">
      <w:numFmt w:val="decimal"/>
      <w:lvlText w:val=""/>
      <w:lvlJc w:val="left"/>
    </w:lvl>
    <w:lvl w:ilvl="4" w:tplc="F90CF238">
      <w:numFmt w:val="decimal"/>
      <w:lvlText w:val=""/>
      <w:lvlJc w:val="left"/>
    </w:lvl>
    <w:lvl w:ilvl="5" w:tplc="DD9EB606">
      <w:numFmt w:val="decimal"/>
      <w:lvlText w:val=""/>
      <w:lvlJc w:val="left"/>
    </w:lvl>
    <w:lvl w:ilvl="6" w:tplc="9ADA45FE">
      <w:numFmt w:val="decimal"/>
      <w:lvlText w:val=""/>
      <w:lvlJc w:val="left"/>
    </w:lvl>
    <w:lvl w:ilvl="7" w:tplc="B79EAA1A">
      <w:numFmt w:val="decimal"/>
      <w:lvlText w:val=""/>
      <w:lvlJc w:val="left"/>
    </w:lvl>
    <w:lvl w:ilvl="8" w:tplc="4718B906">
      <w:numFmt w:val="decimal"/>
      <w:lvlText w:val=""/>
      <w:lvlJc w:val="left"/>
    </w:lvl>
  </w:abstractNum>
  <w:abstractNum w:abstractNumId="1" w15:restartNumberingAfterBreak="0">
    <w:nsid w:val="67C83F35"/>
    <w:multiLevelType w:val="hybridMultilevel"/>
    <w:tmpl w:val="1C8EF34E"/>
    <w:lvl w:ilvl="0" w:tplc="7D36FAF2">
      <w:start w:val="1"/>
      <w:numFmt w:val="bullet"/>
      <w:lvlText w:val="●"/>
      <w:lvlJc w:val="left"/>
      <w:pPr>
        <w:ind w:left="720" w:hanging="360"/>
      </w:pPr>
    </w:lvl>
    <w:lvl w:ilvl="1" w:tplc="A750399A">
      <w:start w:val="1"/>
      <w:numFmt w:val="bullet"/>
      <w:lvlText w:val="○"/>
      <w:lvlJc w:val="left"/>
      <w:pPr>
        <w:ind w:left="1440" w:hanging="360"/>
      </w:pPr>
    </w:lvl>
    <w:lvl w:ilvl="2" w:tplc="47E6993E">
      <w:start w:val="1"/>
      <w:numFmt w:val="bullet"/>
      <w:lvlText w:val="■"/>
      <w:lvlJc w:val="left"/>
      <w:pPr>
        <w:ind w:left="2160" w:hanging="360"/>
      </w:pPr>
    </w:lvl>
    <w:lvl w:ilvl="3" w:tplc="69E4C66C">
      <w:start w:val="1"/>
      <w:numFmt w:val="bullet"/>
      <w:lvlText w:val="●"/>
      <w:lvlJc w:val="left"/>
      <w:pPr>
        <w:ind w:left="2880" w:hanging="360"/>
      </w:pPr>
    </w:lvl>
    <w:lvl w:ilvl="4" w:tplc="C2B05E06">
      <w:start w:val="1"/>
      <w:numFmt w:val="bullet"/>
      <w:lvlText w:val="○"/>
      <w:lvlJc w:val="left"/>
      <w:pPr>
        <w:ind w:left="3600" w:hanging="360"/>
      </w:pPr>
    </w:lvl>
    <w:lvl w:ilvl="5" w:tplc="85324FDA">
      <w:start w:val="1"/>
      <w:numFmt w:val="bullet"/>
      <w:lvlText w:val="■"/>
      <w:lvlJc w:val="left"/>
      <w:pPr>
        <w:ind w:left="4320" w:hanging="360"/>
      </w:pPr>
    </w:lvl>
    <w:lvl w:ilvl="6" w:tplc="ED4AB546">
      <w:start w:val="1"/>
      <w:numFmt w:val="bullet"/>
      <w:lvlText w:val="●"/>
      <w:lvlJc w:val="left"/>
      <w:pPr>
        <w:ind w:left="5040" w:hanging="360"/>
      </w:pPr>
    </w:lvl>
    <w:lvl w:ilvl="7" w:tplc="CC18725C">
      <w:start w:val="1"/>
      <w:numFmt w:val="bullet"/>
      <w:lvlText w:val="●"/>
      <w:lvlJc w:val="left"/>
      <w:pPr>
        <w:ind w:left="5760" w:hanging="360"/>
      </w:pPr>
    </w:lvl>
    <w:lvl w:ilvl="8" w:tplc="D1B81D9A">
      <w:start w:val="1"/>
      <w:numFmt w:val="bullet"/>
      <w:lvlText w:val="●"/>
      <w:lvlJc w:val="left"/>
      <w:pPr>
        <w:ind w:left="6480" w:hanging="360"/>
      </w:pPr>
    </w:lvl>
  </w:abstractNum>
  <w:num w:numId="1" w16cid:durableId="1038698957">
    <w:abstractNumId w:val="1"/>
    <w:lvlOverride w:ilvl="0">
      <w:startOverride w:val="1"/>
    </w:lvlOverride>
  </w:num>
  <w:num w:numId="2" w16cid:durableId="164787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37A"/>
    <w:rsid w:val="00106E51"/>
    <w:rsid w:val="001D2B01"/>
    <w:rsid w:val="001E7A6C"/>
    <w:rsid w:val="0021379F"/>
    <w:rsid w:val="00343F99"/>
    <w:rsid w:val="00364BCD"/>
    <w:rsid w:val="003C22F0"/>
    <w:rsid w:val="003C637A"/>
    <w:rsid w:val="00483F18"/>
    <w:rsid w:val="00505350"/>
    <w:rsid w:val="005240CE"/>
    <w:rsid w:val="005441D5"/>
    <w:rsid w:val="0059382D"/>
    <w:rsid w:val="005E7876"/>
    <w:rsid w:val="00657AF4"/>
    <w:rsid w:val="00730EFD"/>
    <w:rsid w:val="00745F4D"/>
    <w:rsid w:val="008E26EE"/>
    <w:rsid w:val="009762C1"/>
    <w:rsid w:val="009B2B10"/>
    <w:rsid w:val="00AC0469"/>
    <w:rsid w:val="00B266B7"/>
    <w:rsid w:val="00CB7420"/>
    <w:rsid w:val="00CD4F59"/>
    <w:rsid w:val="00FE38AA"/>
    <w:rsid w:val="00FF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4838"/>
  <w15:docId w15:val="{6447A699-002B-4CC0-8891-EE2005423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E26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s.regulations.gov/NHTSA-2024-0100-0018/attachment_1.pdf" TargetMode="External"/><Relationship Id="rId13" Type="http://schemas.openxmlformats.org/officeDocument/2006/relationships/hyperlink" Target="https://www.sandiego.gov/police/data-transparency/crime-statistics/annual-crime-reports" TargetMode="External"/><Relationship Id="rId18" Type="http://schemas.openxmlformats.org/officeDocument/2006/relationships/hyperlink" Target="https://www.lyft.com/impact/dui-reductions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makemyreceipt.com/reports/rideshare-transportation-expense-statistics" TargetMode="External"/><Relationship Id="rId7" Type="http://schemas.openxmlformats.org/officeDocument/2006/relationships/hyperlink" Target="https://crashstats.nhtsa.dot.gov/Api/Public/ViewPublication/813403.pdf" TargetMode="External"/><Relationship Id="rId12" Type="http://schemas.openxmlformats.org/officeDocument/2006/relationships/hyperlink" Target="https://www.sandag.org/data-and-research/criminal-justice-and-public-safety/criminal-justice-research-and-clearinghouse" TargetMode="External"/><Relationship Id="rId17" Type="http://schemas.openxmlformats.org/officeDocument/2006/relationships/hyperlink" Target="https://www.ecfr.gov/current/title-23/chapter-III/part-1300/subpart-C/section-1300.23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ghsa.org/resource-hub/section-405-national-priority-safety-program" TargetMode="External"/><Relationship Id="rId20" Type="http://schemas.openxmlformats.org/officeDocument/2006/relationships/hyperlink" Target="https://www.ncbi.nlm.nih.gov/pmc/articles/PMC8190695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ybailhotline.com/2024/10/san-diego-arrest-reason-stats/" TargetMode="External"/><Relationship Id="rId24" Type="http://schemas.openxmlformats.org/officeDocument/2006/relationships/hyperlink" Target="https://www.bactrack.com/collections/all-breathalyzer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a.lacounty.gov/media/news/los-angeles-county-district-attorneys-office-awarded-22-million-ots-grant-dui-and" TargetMode="External"/><Relationship Id="rId23" Type="http://schemas.openxmlformats.org/officeDocument/2006/relationships/hyperlink" Target="https://www.amazon.com/BACtrack-Breathalyzer-Professional-Grade-Accuracy-Professional/dp/B0026IBZSK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nhtsa.gov/sites/nhtsa.gov/files/2026-03/Report-to-Congress-Advanced-Impaired-Driving-Prevention-Technology.pdf" TargetMode="External"/><Relationship Id="rId19" Type="http://schemas.openxmlformats.org/officeDocument/2006/relationships/hyperlink" Target="https://www.lyft.com/blog/posts/has-rideshare-changed-bostons-drunk-driving-rat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rashstats.nhtsa.dot.gov/Api/Public/Publication/813713" TargetMode="External"/><Relationship Id="rId14" Type="http://schemas.openxmlformats.org/officeDocument/2006/relationships/hyperlink" Target="https://www.ots.ca.gov/grants/" TargetMode="External"/><Relationship Id="rId22" Type="http://schemas.openxmlformats.org/officeDocument/2006/relationships/hyperlink" Target="https://en.wikipedia.org/wiki/BACtrack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2566</Words>
  <Characters>14632</Characters>
  <Application>Microsoft Office Word</Application>
  <DocSecurity>0</DocSecurity>
  <Lines>121</Lines>
  <Paragraphs>34</Paragraphs>
  <ScaleCrop>false</ScaleCrop>
  <Company/>
  <LinksUpToDate>false</LinksUpToDate>
  <CharactersWithSpaces>17164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Natasha Sulistyo</cp:lastModifiedBy>
  <cp:revision>27</cp:revision>
  <dcterms:created xsi:type="dcterms:W3CDTF">2026-05-03T04:12:00Z</dcterms:created>
  <dcterms:modified xsi:type="dcterms:W3CDTF">2026-05-03T04:28:00Z</dcterms:modified>
</cp:coreProperties>
</file>