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672D" w14:textId="77777777" w:rsidR="009E6DE8" w:rsidRDefault="003122CD">
      <w:pPr>
        <w:spacing w:before="200" w:after="80"/>
        <w:jc w:val="center"/>
      </w:pPr>
      <w:r>
        <w:rPr>
          <w:rFonts w:ascii="Arial" w:eastAsia="Arial" w:hAnsi="Arial" w:cs="Arial"/>
          <w:b/>
          <w:bCs/>
          <w:color w:val="1B3A6B"/>
          <w:sz w:val="36"/>
          <w:szCs w:val="36"/>
        </w:rPr>
        <w:t>RESEARCH &amp; RELATED ARTICLES</w:t>
      </w:r>
    </w:p>
    <w:p w14:paraId="66C8DB8C" w14:textId="77777777" w:rsidR="009E6DE8" w:rsidRDefault="003122CD">
      <w:pPr>
        <w:spacing w:after="200"/>
        <w:jc w:val="center"/>
      </w:pPr>
      <w:r>
        <w:rPr>
          <w:rFonts w:ascii="Arial" w:eastAsia="Arial" w:hAnsi="Arial" w:cs="Arial"/>
          <w:color w:val="0D7377"/>
          <w:sz w:val="24"/>
          <w:szCs w:val="24"/>
        </w:rPr>
        <w:t>SafeNight SD — Supporting Evidence &amp; Literature Review</w:t>
      </w:r>
    </w:p>
    <w:p w14:paraId="429B7E86" w14:textId="77777777" w:rsidR="009E6DE8" w:rsidRDefault="003122C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1. DUI Statistics &amp; Economic Impact</w:t>
      </w:r>
    </w:p>
    <w:p w14:paraId="6251AD66" w14:textId="77777777" w:rsidR="009E6DE8" w:rsidRDefault="003122C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1.1  San Diego County DUI Data</w:t>
      </w:r>
    </w:p>
    <w:p w14:paraId="72761045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San Diego County records 2,100+ DUI arrests annually (California OTS, 2024)</w:t>
      </w:r>
    </w:p>
    <w:p w14:paraId="365B2EB0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30% of all traffic crashes in San Diego are alcohol-related</w:t>
      </w:r>
    </w:p>
    <w:p w14:paraId="631AE715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Estimated annual economic cost of DUI in San Diego County: $487 million</w:t>
      </w:r>
    </w:p>
    <w:p w14:paraId="1A2005F8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Breakdown of economic cost includes medical treatment, legal proceedings, incarceration, lost productivity, and property damage</w:t>
      </w:r>
    </w:p>
    <w:p w14:paraId="5991BFCD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Every hour without an intervention infrastructure costs approximately $55,600 in DUI-related economic damage</w:t>
      </w:r>
    </w:p>
    <w:p w14:paraId="47780AF7" w14:textId="77777777" w:rsidR="009E6DE8" w:rsidRDefault="003122C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1.2  National Highway Traffic Safety Administration (NHTSA) Cost Data</w:t>
      </w:r>
    </w:p>
    <w:p w14:paraId="63498A5B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NHTSA estimates the comprehensive cost of a single fatal crash at approximately $1.4 million per incident</w:t>
      </w:r>
    </w:p>
    <w:p w14:paraId="174DC317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This figure incorporates medical and emergency response, lost wages and productivity, legal and court costs, insurance administration, and quality of life impact</w:t>
      </w:r>
    </w:p>
    <w:p w14:paraId="1D4210C4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SafeNight SD uses NHTSA cost-of-crash valuation methodology to calculate Social ROI, providing institutional credibility to financial projections</w:t>
      </w:r>
    </w:p>
    <w:p w14:paraId="0A89E6A7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Source: NHTSA Traffic Safety Facts — Economic and Societal Impact of U.S. Motor Vehicle Crashes (DOT HS 813 403)</w:t>
      </w:r>
    </w:p>
    <w:p w14:paraId="67625807" w14:textId="77777777" w:rsidR="009E6DE8" w:rsidRDefault="009E6DE8">
      <w:pPr>
        <w:spacing w:before="100" w:after="100"/>
      </w:pPr>
    </w:p>
    <w:p w14:paraId="42D7E9B2" w14:textId="77777777" w:rsidR="009E6DE8" w:rsidRDefault="003122C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2. Breathalyzer Kiosk Technology</w:t>
      </w:r>
    </w:p>
    <w:p w14:paraId="702D33BE" w14:textId="77777777" w:rsidR="009E6DE8" w:rsidRDefault="003122C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2.1  Existing Kiosk Programs &amp; Precedents</w:t>
      </w:r>
    </w:p>
    <w:p w14:paraId="1126F750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Self-service breathalyzer kiosks have been deployed in bar districts in select U.S. cities including Las Vegas, NV and New Orleans, LA</w:t>
      </w:r>
    </w:p>
    <w:p w14:paraId="1EEA7222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Early programs (c. 2010–2015) showed 60–70% of users who received a red BAC result chose alternative transportation</w:t>
      </w:r>
    </w:p>
    <w:p w14:paraId="2329536D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Colorado deployed breathalyzer kiosks as part of a state DUI reduction pilot; results showed measurable decrease in post-event DUI incidents in deployment zones</w:t>
      </w:r>
    </w:p>
    <w:p w14:paraId="0372449C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European precedents: Germany and Sweden have piloted public breathalyzer kiosks at transit hubs since 2008, reporting consistent usage rates of 30+ tests per device per day</w:t>
      </w:r>
    </w:p>
    <w:p w14:paraId="51BEB723" w14:textId="77777777" w:rsidR="009E6DE8" w:rsidRDefault="003122C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2.2  Technology Specifications</w:t>
      </w:r>
    </w:p>
    <w:p w14:paraId="1C84A8D6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Commercial breathalyzer kiosks (e.g., AlcoHAWK, BACtrack, SmartStart) deliver BAC results in under 10 seconds using fuel cell sensor technology</w:t>
      </w:r>
    </w:p>
    <w:p w14:paraId="284DDB88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Fuel cell sensors offer ±0.005% BAC accuracy, exceeding roadside screening device standards</w:t>
      </w:r>
    </w:p>
    <w:p w14:paraId="4DEBB650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Single-use disposable mouthpieces eliminate hygiene concerns and are FDA-cleared</w:t>
      </w:r>
    </w:p>
    <w:p w14:paraId="66BE06F5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Integration capabilities: QR code generation, API data output, cellular uptime monitoring, remote diagnostics</w:t>
      </w:r>
    </w:p>
    <w:p w14:paraId="231DD46D" w14:textId="77777777" w:rsidR="009E6DE8" w:rsidRDefault="009E6DE8">
      <w:pPr>
        <w:spacing w:before="100" w:after="100"/>
      </w:pPr>
    </w:p>
    <w:p w14:paraId="4A6B10E5" w14:textId="77777777" w:rsidR="009E6DE8" w:rsidRDefault="003122C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3. Behavioral Economics &amp; Nudge Theory</w:t>
      </w:r>
    </w:p>
    <w:p w14:paraId="0873FCFB" w14:textId="77777777" w:rsidR="009E6DE8" w:rsidRDefault="003122C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3.1  Choice Architecture at Decision Points</w:t>
      </w:r>
    </w:p>
    <w:p w14:paraId="64BCF037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Richard Thaler and Cass Sunstein (Nudge, 2008) established that environmental design at decision points dramatically influences behavior without restricting freedom of choice</w:t>
      </w:r>
    </w:p>
    <w:p w14:paraId="3F584F50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SafeNight SD applies this framework: positioning kiosks at bar exits intercepts the exact moment the decision to drive is made</w:t>
      </w:r>
    </w:p>
    <w:p w14:paraId="39E78807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Research shows interventions closest to the decision point are 5× more effective than those removed from the moment of choice (Behavioral Insights Team, 2014)</w:t>
      </w:r>
    </w:p>
    <w:p w14:paraId="025A57D4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BAC feedback activates System 2 (deliberate) thinking, overriding impaired System 1 (intuitive) decision-making</w:t>
      </w:r>
    </w:p>
    <w:p w14:paraId="5EE806FA" w14:textId="77777777" w:rsidR="009E6DE8" w:rsidRDefault="003122CD">
      <w:pPr>
        <w:pStyle w:val="Heading2"/>
        <w:spacing w:before="240" w:after="120"/>
      </w:pPr>
      <w:r>
        <w:rPr>
          <w:rFonts w:ascii="Arial" w:eastAsia="Arial" w:hAnsi="Arial" w:cs="Arial"/>
          <w:b/>
          <w:bCs/>
          <w:color w:val="0D7377"/>
          <w:sz w:val="24"/>
          <w:szCs w:val="24"/>
        </w:rPr>
        <w:t>3.2  Rideshare Integration as a Nudge</w:t>
      </w:r>
    </w:p>
    <w:p w14:paraId="0660900D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Providing a direct QR code to Uber/Lyft eliminates friction from the safe-choice pathway</w:t>
      </w:r>
    </w:p>
    <w:p w14:paraId="4182E411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Co-branded promo codes create positive reinforcement and reduce cost barriers</w:t>
      </w:r>
    </w:p>
    <w:p w14:paraId="5574337F" w14:textId="77777777" w:rsidR="009E6DE8" w:rsidRDefault="003122CD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Uber and Lyft have both published data showing that markets with rideshare integration at entertainment venues report 8–15% reduction in post-midnight DUI incidents</w:t>
      </w:r>
    </w:p>
    <w:p w14:paraId="65E86860" w14:textId="77777777" w:rsidR="009E6DE8" w:rsidRDefault="009E6DE8">
      <w:pPr>
        <w:spacing w:before="100" w:after="100"/>
      </w:pPr>
    </w:p>
    <w:p w14:paraId="1FF91187" w14:textId="77777777" w:rsidR="009E6DE8" w:rsidRDefault="003122C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t>4. Government Grant Programs &amp; Funding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2498"/>
        <w:gridCol w:w="2178"/>
        <w:gridCol w:w="2186"/>
      </w:tblGrid>
      <w:tr w:rsidR="009E6DE8" w14:paraId="5E0C67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23C0A" w14:textId="77777777" w:rsidR="009E6DE8" w:rsidRDefault="003122CD">
            <w:r>
              <w:rPr>
                <w:rFonts w:ascii="Arial" w:eastAsia="Arial" w:hAnsi="Arial" w:cs="Arial"/>
                <w:b/>
                <w:bCs/>
                <w:color w:val="FFFFFF"/>
              </w:rPr>
              <w:t>Program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616DD" w14:textId="77777777" w:rsidR="009E6DE8" w:rsidRDefault="003122CD">
            <w:r>
              <w:rPr>
                <w:rFonts w:ascii="Arial" w:eastAsia="Arial" w:hAnsi="Arial" w:cs="Arial"/>
                <w:b/>
                <w:bCs/>
                <w:color w:val="FFFFFF"/>
              </w:rPr>
              <w:t>Agency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7DDD9" w14:textId="77777777" w:rsidR="009E6DE8" w:rsidRDefault="003122CD">
            <w:r>
              <w:rPr>
                <w:rFonts w:ascii="Arial" w:eastAsia="Arial" w:hAnsi="Arial" w:cs="Arial"/>
                <w:b/>
                <w:bCs/>
                <w:color w:val="FFFFFF"/>
              </w:rPr>
              <w:t>Est. Award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6A532" w14:textId="77777777" w:rsidR="009E6DE8" w:rsidRDefault="003122CD">
            <w:r>
              <w:rPr>
                <w:rFonts w:ascii="Arial" w:eastAsia="Arial" w:hAnsi="Arial" w:cs="Arial"/>
                <w:b/>
                <w:bCs/>
                <w:color w:val="FFFFFF"/>
              </w:rPr>
              <w:t>Eligibility</w:t>
            </w:r>
          </w:p>
        </w:tc>
      </w:tr>
      <w:tr w:rsidR="009E6DE8" w14:paraId="2CD53A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889B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Impaired Driving Grant (405d)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6B24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NHTSA / USDOT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40CD6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$50K–$200K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2F88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State/local programs</w:t>
            </w:r>
          </w:p>
        </w:tc>
      </w:tr>
      <w:tr w:rsidR="009E6DE8" w14:paraId="77DC24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FAF6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CA OTS DUI Grant Program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786D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California OTS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AA4E5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$75K–$150K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C0FA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CA nonprofits &amp; agencies</w:t>
            </w:r>
          </w:p>
        </w:tc>
      </w:tr>
      <w:tr w:rsidR="009E6DE8" w14:paraId="7FC004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3350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GHSA Innovation Grant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5C1B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GHSA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93BB2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$25K–$100K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E4DE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Traffic safety orgs</w:t>
            </w:r>
          </w:p>
        </w:tc>
      </w:tr>
      <w:tr w:rsidR="009E6DE8" w14:paraId="30117F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B870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CDC Injury Prevention Grant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422E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CDC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BFF9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$100K–$500K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5E16" w14:textId="77777777" w:rsidR="009E6DE8" w:rsidRDefault="003122CD">
            <w:r>
              <w:rPr>
                <w:rFonts w:ascii="Arial" w:eastAsia="Arial" w:hAnsi="Arial" w:cs="Arial"/>
                <w:color w:val="1A1A2E"/>
              </w:rPr>
              <w:t>Research/intervention</w:t>
            </w:r>
          </w:p>
        </w:tc>
      </w:tr>
    </w:tbl>
    <w:p w14:paraId="2A5F026E" w14:textId="77777777" w:rsidR="009E6DE8" w:rsidRDefault="009E6DE8">
      <w:pPr>
        <w:spacing w:before="100" w:after="100"/>
      </w:pPr>
    </w:p>
    <w:p w14:paraId="539976D6" w14:textId="77777777" w:rsidR="00407BFB" w:rsidRDefault="00407BFB">
      <w:pPr>
        <w:spacing w:before="100" w:after="100"/>
      </w:pPr>
    </w:p>
    <w:p w14:paraId="22170697" w14:textId="77777777" w:rsidR="00407BFB" w:rsidRDefault="00407BFB">
      <w:pPr>
        <w:spacing w:before="100" w:after="100"/>
      </w:pPr>
    </w:p>
    <w:p w14:paraId="78244C48" w14:textId="77777777" w:rsidR="00407BFB" w:rsidRDefault="00407BFB">
      <w:pPr>
        <w:spacing w:before="100" w:after="100"/>
      </w:pPr>
    </w:p>
    <w:p w14:paraId="4EEF2DD3" w14:textId="77777777" w:rsidR="00407BFB" w:rsidRDefault="00407BFB">
      <w:pPr>
        <w:spacing w:before="100" w:after="100"/>
      </w:pPr>
    </w:p>
    <w:p w14:paraId="35513DFD" w14:textId="77777777" w:rsidR="00407BFB" w:rsidRDefault="00407BFB">
      <w:pPr>
        <w:spacing w:before="100" w:after="100"/>
      </w:pPr>
    </w:p>
    <w:p w14:paraId="19ECFE58" w14:textId="77777777" w:rsidR="009E6DE8" w:rsidRDefault="003122CD">
      <w:pPr>
        <w:pStyle w:val="Heading1"/>
        <w:pBdr>
          <w:bottom w:val="single" w:sz="4" w:space="4" w:color="0D7377"/>
        </w:pBdr>
        <w:spacing w:before="320" w:after="160"/>
      </w:pPr>
      <w:r>
        <w:rPr>
          <w:rFonts w:ascii="Arial" w:eastAsia="Arial" w:hAnsi="Arial" w:cs="Arial"/>
          <w:b/>
          <w:bCs/>
          <w:color w:val="1B3A6B"/>
          <w:sz w:val="28"/>
          <w:szCs w:val="28"/>
        </w:rPr>
        <w:lastRenderedPageBreak/>
        <w:t>5. References</w:t>
      </w:r>
    </w:p>
    <w:p w14:paraId="33E63B47" w14:textId="77777777" w:rsidR="009E6DE8" w:rsidRDefault="003122CD">
      <w:p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>The following sources informed the SafeNight SD business case and project plan:</w:t>
      </w:r>
    </w:p>
    <w:p w14:paraId="227CED4F" w14:textId="77777777" w:rsidR="009E6DE8" w:rsidRDefault="009E6DE8">
      <w:pPr>
        <w:spacing w:before="100" w:after="100"/>
      </w:pPr>
    </w:p>
    <w:p w14:paraId="2DA8B35C" w14:textId="77777777" w:rsidR="009E6DE8" w:rsidRDefault="003122CD"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National Highway Traffic Safety Administration. (2023). </w:t>
      </w:r>
      <w:r>
        <w:rPr>
          <w:rFonts w:ascii="Arial" w:eastAsia="Arial" w:hAnsi="Arial" w:cs="Arial"/>
          <w:i/>
          <w:iCs/>
          <w:color w:val="1A1A2E"/>
          <w:sz w:val="22"/>
          <w:szCs w:val="22"/>
        </w:rPr>
        <w:t>Traffic Safety Facts — Alcohol-Impaired Driving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(DOT HS 813 435). U.S. Department of Transportation.</w:t>
      </w:r>
    </w:p>
    <w:p w14:paraId="3BF5AB16" w14:textId="77777777" w:rsidR="009E6DE8" w:rsidRDefault="003122CD"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California Office of Traffic Safety. (2024). </w:t>
      </w:r>
      <w:r>
        <w:rPr>
          <w:rFonts w:ascii="Arial" w:eastAsia="Arial" w:hAnsi="Arial" w:cs="Arial"/>
          <w:i/>
          <w:iCs/>
          <w:color w:val="1A1A2E"/>
          <w:sz w:val="22"/>
          <w:szCs w:val="22"/>
        </w:rPr>
        <w:t>Annual DUI Statistical Report — San Diego County</w:t>
      </w:r>
      <w:r>
        <w:rPr>
          <w:rFonts w:ascii="Arial" w:eastAsia="Arial" w:hAnsi="Arial" w:cs="Arial"/>
          <w:color w:val="1A1A2E"/>
          <w:sz w:val="22"/>
          <w:szCs w:val="22"/>
        </w:rPr>
        <w:t>. CA OTS Publications.</w:t>
      </w:r>
    </w:p>
    <w:p w14:paraId="5AB13C96" w14:textId="77777777" w:rsidR="009E6DE8" w:rsidRDefault="003122CD"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Thaler, R. H., &amp; Sunstein, C. R. (2008). </w:t>
      </w:r>
      <w:r>
        <w:rPr>
          <w:rFonts w:ascii="Arial" w:eastAsia="Arial" w:hAnsi="Arial" w:cs="Arial"/>
          <w:i/>
          <w:iCs/>
          <w:color w:val="1A1A2E"/>
          <w:sz w:val="22"/>
          <w:szCs w:val="22"/>
        </w:rPr>
        <w:t>Nudge: Improving Decisions About Health, Wealth, and Happiness</w:t>
      </w:r>
      <w:r>
        <w:rPr>
          <w:rFonts w:ascii="Arial" w:eastAsia="Arial" w:hAnsi="Arial" w:cs="Arial"/>
          <w:color w:val="1A1A2E"/>
          <w:sz w:val="22"/>
          <w:szCs w:val="22"/>
        </w:rPr>
        <w:t>. Yale University Press.</w:t>
      </w:r>
    </w:p>
    <w:p w14:paraId="5C6E3F46" w14:textId="77777777" w:rsidR="009E6DE8" w:rsidRDefault="003122CD"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Behavioral Insights Team. (2014). </w:t>
      </w:r>
      <w:r>
        <w:rPr>
          <w:rFonts w:ascii="Arial" w:eastAsia="Arial" w:hAnsi="Arial" w:cs="Arial"/>
          <w:i/>
          <w:iCs/>
          <w:color w:val="1A1A2E"/>
          <w:sz w:val="22"/>
          <w:szCs w:val="22"/>
        </w:rPr>
        <w:t>Applying Behavioral Insights to Road Safety</w:t>
      </w:r>
      <w:r>
        <w:rPr>
          <w:rFonts w:ascii="Arial" w:eastAsia="Arial" w:hAnsi="Arial" w:cs="Arial"/>
          <w:color w:val="1A1A2E"/>
          <w:sz w:val="22"/>
          <w:szCs w:val="22"/>
        </w:rPr>
        <w:t>. Department for Transport (UK).</w:t>
      </w:r>
    </w:p>
    <w:p w14:paraId="0C7E5925" w14:textId="77777777" w:rsidR="009E6DE8" w:rsidRDefault="003122CD"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NHTSA. (2021). </w:t>
      </w:r>
      <w:r>
        <w:rPr>
          <w:rFonts w:ascii="Arial" w:eastAsia="Arial" w:hAnsi="Arial" w:cs="Arial"/>
          <w:i/>
          <w:iCs/>
          <w:color w:val="1A1A2E"/>
          <w:sz w:val="22"/>
          <w:szCs w:val="22"/>
        </w:rPr>
        <w:t>The Economic and Societal Impact of Motor Vehicle Crashes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(DOT HS 813 403). U.S. Department of Transportation.</w:t>
      </w:r>
    </w:p>
    <w:p w14:paraId="662E8574" w14:textId="77777777" w:rsidR="009E6DE8" w:rsidRDefault="003122CD"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Kahneman, D. (2011). </w:t>
      </w:r>
      <w:r>
        <w:rPr>
          <w:rFonts w:ascii="Arial" w:eastAsia="Arial" w:hAnsi="Arial" w:cs="Arial"/>
          <w:i/>
          <w:iCs/>
          <w:color w:val="1A1A2E"/>
          <w:sz w:val="22"/>
          <w:szCs w:val="22"/>
        </w:rPr>
        <w:t>Thinking, Fast and Slow</w:t>
      </w:r>
      <w:r>
        <w:rPr>
          <w:rFonts w:ascii="Arial" w:eastAsia="Arial" w:hAnsi="Arial" w:cs="Arial"/>
          <w:color w:val="1A1A2E"/>
          <w:sz w:val="22"/>
          <w:szCs w:val="22"/>
        </w:rPr>
        <w:t>. Farrar, Straus and Giroux.</w:t>
      </w:r>
    </w:p>
    <w:sectPr w:rsidR="009E6DE8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89EBA" w14:textId="77777777" w:rsidR="003122CD" w:rsidRDefault="003122CD">
      <w:r>
        <w:separator/>
      </w:r>
    </w:p>
  </w:endnote>
  <w:endnote w:type="continuationSeparator" w:id="0">
    <w:p w14:paraId="13AD1E96" w14:textId="77777777" w:rsidR="003122CD" w:rsidRDefault="00312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ED0A" w14:textId="77777777" w:rsidR="009E6DE8" w:rsidRDefault="003122CD">
    <w:pPr>
      <w:tabs>
        <w:tab w:val="right" w:pos="9360"/>
      </w:tabs>
    </w:pPr>
    <w:r>
      <w:rPr>
        <w:rFonts w:ascii="Arial" w:eastAsia="Arial" w:hAnsi="Arial" w:cs="Arial"/>
        <w:color w:val="888888"/>
        <w:sz w:val="18"/>
        <w:szCs w:val="18"/>
      </w:rPr>
      <w:t>SafeNight SD — Research &amp; Related Articles</w:t>
    </w:r>
    <w:r>
      <w:rPr>
        <w:rFonts w:ascii="Arial" w:eastAsia="Arial" w:hAnsi="Arial" w:cs="Arial"/>
        <w:color w:val="888888"/>
        <w:sz w:val="18"/>
        <w:szCs w:val="18"/>
      </w:rPr>
      <w:tab/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18426" w14:textId="77777777" w:rsidR="003122CD" w:rsidRDefault="003122CD">
      <w:r>
        <w:separator/>
      </w:r>
    </w:p>
  </w:footnote>
  <w:footnote w:type="continuationSeparator" w:id="0">
    <w:p w14:paraId="707707D0" w14:textId="77777777" w:rsidR="003122CD" w:rsidRDefault="003122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52B9E"/>
    <w:multiLevelType w:val="hybridMultilevel"/>
    <w:tmpl w:val="F3C435D4"/>
    <w:lvl w:ilvl="0" w:tplc="62A24266">
      <w:start w:val="1"/>
      <w:numFmt w:val="decimal"/>
      <w:lvlText w:val="%1."/>
      <w:lvlJc w:val="left"/>
      <w:pPr>
        <w:ind w:left="720" w:hanging="360"/>
      </w:pPr>
    </w:lvl>
    <w:lvl w:ilvl="1" w:tplc="C43A57B6">
      <w:numFmt w:val="decimal"/>
      <w:lvlText w:val=""/>
      <w:lvlJc w:val="left"/>
    </w:lvl>
    <w:lvl w:ilvl="2" w:tplc="36D29C1C">
      <w:numFmt w:val="decimal"/>
      <w:lvlText w:val=""/>
      <w:lvlJc w:val="left"/>
    </w:lvl>
    <w:lvl w:ilvl="3" w:tplc="6DE8ECC6">
      <w:numFmt w:val="decimal"/>
      <w:lvlText w:val=""/>
      <w:lvlJc w:val="left"/>
    </w:lvl>
    <w:lvl w:ilvl="4" w:tplc="EB5497D4">
      <w:numFmt w:val="decimal"/>
      <w:lvlText w:val=""/>
      <w:lvlJc w:val="left"/>
    </w:lvl>
    <w:lvl w:ilvl="5" w:tplc="0A606EDE">
      <w:numFmt w:val="decimal"/>
      <w:lvlText w:val=""/>
      <w:lvlJc w:val="left"/>
    </w:lvl>
    <w:lvl w:ilvl="6" w:tplc="AB44EE2C">
      <w:numFmt w:val="decimal"/>
      <w:lvlText w:val=""/>
      <w:lvlJc w:val="left"/>
    </w:lvl>
    <w:lvl w:ilvl="7" w:tplc="CEF08CD2">
      <w:numFmt w:val="decimal"/>
      <w:lvlText w:val=""/>
      <w:lvlJc w:val="left"/>
    </w:lvl>
    <w:lvl w:ilvl="8" w:tplc="F6220DB2">
      <w:numFmt w:val="decimal"/>
      <w:lvlText w:val=""/>
      <w:lvlJc w:val="left"/>
    </w:lvl>
  </w:abstractNum>
  <w:abstractNum w:abstractNumId="1" w15:restartNumberingAfterBreak="0">
    <w:nsid w:val="1EF835D2"/>
    <w:multiLevelType w:val="hybridMultilevel"/>
    <w:tmpl w:val="0BB68D9E"/>
    <w:lvl w:ilvl="0" w:tplc="717290BE">
      <w:start w:val="1"/>
      <w:numFmt w:val="bullet"/>
      <w:lvlText w:val="•"/>
      <w:lvlJc w:val="left"/>
      <w:pPr>
        <w:ind w:left="720" w:hanging="360"/>
      </w:pPr>
    </w:lvl>
    <w:lvl w:ilvl="1" w:tplc="49FEED26">
      <w:start w:val="1"/>
      <w:numFmt w:val="bullet"/>
      <w:lvlText w:val="○"/>
      <w:lvlJc w:val="left"/>
      <w:pPr>
        <w:ind w:left="1080" w:hanging="360"/>
      </w:pPr>
    </w:lvl>
    <w:lvl w:ilvl="2" w:tplc="884C6876">
      <w:numFmt w:val="decimal"/>
      <w:lvlText w:val=""/>
      <w:lvlJc w:val="left"/>
    </w:lvl>
    <w:lvl w:ilvl="3" w:tplc="E0F2327C">
      <w:numFmt w:val="decimal"/>
      <w:lvlText w:val=""/>
      <w:lvlJc w:val="left"/>
    </w:lvl>
    <w:lvl w:ilvl="4" w:tplc="048E328E">
      <w:numFmt w:val="decimal"/>
      <w:lvlText w:val=""/>
      <w:lvlJc w:val="left"/>
    </w:lvl>
    <w:lvl w:ilvl="5" w:tplc="E084BF80">
      <w:numFmt w:val="decimal"/>
      <w:lvlText w:val=""/>
      <w:lvlJc w:val="left"/>
    </w:lvl>
    <w:lvl w:ilvl="6" w:tplc="43EE6F50">
      <w:numFmt w:val="decimal"/>
      <w:lvlText w:val=""/>
      <w:lvlJc w:val="left"/>
    </w:lvl>
    <w:lvl w:ilvl="7" w:tplc="B5AACE32">
      <w:numFmt w:val="decimal"/>
      <w:lvlText w:val=""/>
      <w:lvlJc w:val="left"/>
    </w:lvl>
    <w:lvl w:ilvl="8" w:tplc="D408E8B2">
      <w:numFmt w:val="decimal"/>
      <w:lvlText w:val=""/>
      <w:lvlJc w:val="left"/>
    </w:lvl>
  </w:abstractNum>
  <w:abstractNum w:abstractNumId="2" w15:restartNumberingAfterBreak="0">
    <w:nsid w:val="6DB6347A"/>
    <w:multiLevelType w:val="hybridMultilevel"/>
    <w:tmpl w:val="1E1C602A"/>
    <w:lvl w:ilvl="0" w:tplc="966AE7EC">
      <w:start w:val="1"/>
      <w:numFmt w:val="bullet"/>
      <w:lvlText w:val="●"/>
      <w:lvlJc w:val="left"/>
      <w:pPr>
        <w:ind w:left="720" w:hanging="360"/>
      </w:pPr>
    </w:lvl>
    <w:lvl w:ilvl="1" w:tplc="D422C362">
      <w:start w:val="1"/>
      <w:numFmt w:val="bullet"/>
      <w:lvlText w:val="○"/>
      <w:lvlJc w:val="left"/>
      <w:pPr>
        <w:ind w:left="1440" w:hanging="360"/>
      </w:pPr>
    </w:lvl>
    <w:lvl w:ilvl="2" w:tplc="0BC499D2">
      <w:start w:val="1"/>
      <w:numFmt w:val="bullet"/>
      <w:lvlText w:val="■"/>
      <w:lvlJc w:val="left"/>
      <w:pPr>
        <w:ind w:left="2160" w:hanging="360"/>
      </w:pPr>
    </w:lvl>
    <w:lvl w:ilvl="3" w:tplc="B99C4A68">
      <w:start w:val="1"/>
      <w:numFmt w:val="bullet"/>
      <w:lvlText w:val="●"/>
      <w:lvlJc w:val="left"/>
      <w:pPr>
        <w:ind w:left="2880" w:hanging="360"/>
      </w:pPr>
    </w:lvl>
    <w:lvl w:ilvl="4" w:tplc="F13C2F56">
      <w:start w:val="1"/>
      <w:numFmt w:val="bullet"/>
      <w:lvlText w:val="○"/>
      <w:lvlJc w:val="left"/>
      <w:pPr>
        <w:ind w:left="3600" w:hanging="360"/>
      </w:pPr>
    </w:lvl>
    <w:lvl w:ilvl="5" w:tplc="750E2154">
      <w:start w:val="1"/>
      <w:numFmt w:val="bullet"/>
      <w:lvlText w:val="■"/>
      <w:lvlJc w:val="left"/>
      <w:pPr>
        <w:ind w:left="4320" w:hanging="360"/>
      </w:pPr>
    </w:lvl>
    <w:lvl w:ilvl="6" w:tplc="D8E42256">
      <w:start w:val="1"/>
      <w:numFmt w:val="bullet"/>
      <w:lvlText w:val="●"/>
      <w:lvlJc w:val="left"/>
      <w:pPr>
        <w:ind w:left="5040" w:hanging="360"/>
      </w:pPr>
    </w:lvl>
    <w:lvl w:ilvl="7" w:tplc="A47EE018">
      <w:start w:val="1"/>
      <w:numFmt w:val="bullet"/>
      <w:lvlText w:val="●"/>
      <w:lvlJc w:val="left"/>
      <w:pPr>
        <w:ind w:left="5760" w:hanging="360"/>
      </w:pPr>
    </w:lvl>
    <w:lvl w:ilvl="8" w:tplc="B15A5F98">
      <w:start w:val="1"/>
      <w:numFmt w:val="bullet"/>
      <w:lvlText w:val="●"/>
      <w:lvlJc w:val="left"/>
      <w:pPr>
        <w:ind w:left="6480" w:hanging="360"/>
      </w:pPr>
    </w:lvl>
  </w:abstractNum>
  <w:num w:numId="1" w16cid:durableId="254635912">
    <w:abstractNumId w:val="2"/>
    <w:lvlOverride w:ilvl="0">
      <w:startOverride w:val="1"/>
    </w:lvlOverride>
  </w:num>
  <w:num w:numId="2" w16cid:durableId="1254626987">
    <w:abstractNumId w:val="1"/>
    <w:lvlOverride w:ilvl="0">
      <w:startOverride w:val="1"/>
    </w:lvlOverride>
  </w:num>
  <w:num w:numId="3" w16cid:durableId="2025208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E8"/>
    <w:rsid w:val="003122CD"/>
    <w:rsid w:val="00407BFB"/>
    <w:rsid w:val="009E34E9"/>
    <w:rsid w:val="009E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8F64"/>
  <w15:docId w15:val="{77EA8A19-E5A5-49E6-92A5-739AD160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674</Words>
  <Characters>3842</Characters>
  <Application>Microsoft Office Word</Application>
  <DocSecurity>4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Natasha Sulistyo</cp:lastModifiedBy>
  <cp:revision>2</cp:revision>
  <dcterms:created xsi:type="dcterms:W3CDTF">2026-05-02T23:47:00Z</dcterms:created>
  <dcterms:modified xsi:type="dcterms:W3CDTF">2026-05-02T23:47:00Z</dcterms:modified>
</cp:coreProperties>
</file>