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ANALISIS SOAL 1.3 — Header-Line vs Flat Table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A. Dari Sisi Audit Trail (Jejak Audit)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Pemisahan tabel Header-Line membuat informasi transaksi seperti tanggal,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nomor referensi, dan deskripsi hanya disimpan satu kali di tabel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journal_headers. Detail nilai debit dan kredit disimpan terpisah di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tabel journal_lines. Dengan cara ini, tidak terjadi duplikasi data yang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berpotensi menimbulkan inkonsistensi. Auditor dapat melacak satu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transaksi cukup dengan melihat header, lalu menelusuri seluruh baris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jurnal yang terhubung. Status posting yang berada di level header juga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membuat pengendalian internal lebih terpusat dan rapi.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B. Dari Sisi 3NF (Third Normal Form)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Model tabel tunggal (flat journal table) melanggar Second Normal Form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(2NF) karena atribut header seperti tanggal dan nomor referensi hanya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bergantung pada header_id, bukan pada primary key baris jurnal. Model 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ini juga melanggar Third Normal Form (3NF) karena terdapat transitive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dependency, misalnya nama akun bergantung pada account_id, sementara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account_id bukan primary key dari baris jurnal. Dengan memisahkan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menjadi tiga tabel, setiap atribut hanya bergantung pada primary key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tabelnya masing-masing. Hasilnya tidak ada redundansi data dan tidak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ada anomali insert, update, maupun delete.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