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fys9k7u080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Python Project: Sales Data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0kif7xu6l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how to analyze </w:t>
      </w:r>
      <w:r w:rsidDel="00000000" w:rsidR="00000000" w:rsidRPr="00000000">
        <w:rPr>
          <w:b w:val="1"/>
          <w:rtl w:val="0"/>
        </w:rPr>
        <w:t xml:space="preserve">sales and product data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library. The script loads Excel datasets, performs exploratory analysis, and provides insights into data structure and content.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showcase practical data handling skills, including data inspection, cleaning, and summary generation.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n9jkot8at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📂 Files in Repository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script.ipynb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Python script containing the analysis code.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sales.xlsx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Dataset containing sales records.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products.xlsx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Dataset containing product information.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Project_Documentation: Sales Data Analysis.docx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Full project documentation (this file).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fl01llm7v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📝 Script Functionality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script.py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Libraries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data analysis.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 to check the current working directory.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Datasets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sales.xlsx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Sales transactions.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products.xlsx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Product details.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Product Data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 the product dataset.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Explore Sales Data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first 10 rows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last 5 rows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dataset shape (rows × columns).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dataset info (column types, null values).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 unique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nunique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specific columns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