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CA548" w14:textId="12B95741" w:rsidR="00976D5C" w:rsidRPr="00CC1DB9" w:rsidRDefault="00CC1DB9" w:rsidP="00CC1DB9">
      <w:pPr>
        <w:spacing w:after="0" w:line="240" w:lineRule="auto"/>
        <w:rPr>
          <w:rFonts w:ascii="Arial" w:hAnsi="Arial" w:cs="Arial"/>
        </w:rPr>
      </w:pPr>
      <w:r w:rsidRPr="00CC1DB9">
        <w:rPr>
          <w:rFonts w:ascii="Arial" w:hAnsi="Arial" w:cs="Arial"/>
        </w:rPr>
        <w:t>Hello [IA Coordinator]</w:t>
      </w:r>
      <w:r>
        <w:rPr>
          <w:rFonts w:ascii="Arial" w:hAnsi="Arial" w:cs="Arial"/>
        </w:rPr>
        <w:t>,</w:t>
      </w:r>
    </w:p>
    <w:p w14:paraId="6B82B34D" w14:textId="6B550C29" w:rsidR="00CC1DB9" w:rsidRDefault="00CC1DB9" w:rsidP="00CC1DB9">
      <w:pPr>
        <w:spacing w:after="0" w:line="240" w:lineRule="auto"/>
        <w:rPr>
          <w:rFonts w:ascii="Arial" w:hAnsi="Arial" w:cs="Arial"/>
        </w:rPr>
      </w:pPr>
    </w:p>
    <w:p w14:paraId="38C07FE6" w14:textId="6541EA2D" w:rsidR="00CC1DB9" w:rsidRDefault="00CC1DB9" w:rsidP="00CC1DB9">
      <w:pPr>
        <w:spacing w:after="0" w:line="240" w:lineRule="auto"/>
        <w:rPr>
          <w:rFonts w:ascii="Arial" w:hAnsi="Arial" w:cs="Arial"/>
        </w:rPr>
      </w:pPr>
      <w:r>
        <w:rPr>
          <w:rFonts w:ascii="Arial" w:hAnsi="Arial" w:cs="Arial"/>
        </w:rPr>
        <w:t>I hope you’re doing well!</w:t>
      </w:r>
    </w:p>
    <w:p w14:paraId="6E8CA01F" w14:textId="77777777" w:rsidR="00CC1DB9" w:rsidRDefault="00CC1DB9" w:rsidP="00CC1DB9">
      <w:pPr>
        <w:spacing w:after="0" w:line="240" w:lineRule="auto"/>
        <w:rPr>
          <w:rFonts w:ascii="Arial" w:hAnsi="Arial" w:cs="Arial"/>
        </w:rPr>
      </w:pPr>
    </w:p>
    <w:p w14:paraId="5178AA9A" w14:textId="0896F4B2" w:rsidR="00CC1DB9" w:rsidRDefault="00CC1DB9" w:rsidP="00CC1DB9">
      <w:pPr>
        <w:spacing w:after="0" w:line="240" w:lineRule="auto"/>
        <w:rPr>
          <w:rFonts w:ascii="Arial" w:hAnsi="Arial" w:cs="Arial"/>
        </w:rPr>
      </w:pPr>
      <w:proofErr w:type="gramStart"/>
      <w:r>
        <w:rPr>
          <w:rFonts w:ascii="Arial" w:hAnsi="Arial" w:cs="Arial"/>
        </w:rPr>
        <w:t>In the course of</w:t>
      </w:r>
      <w:proofErr w:type="gramEnd"/>
      <w:r>
        <w:rPr>
          <w:rFonts w:ascii="Arial" w:hAnsi="Arial" w:cs="Arial"/>
        </w:rPr>
        <w:t xml:space="preserve"> </w:t>
      </w:r>
      <w:r w:rsidR="00B10FDF">
        <w:rPr>
          <w:rFonts w:ascii="Arial" w:hAnsi="Arial" w:cs="Arial"/>
        </w:rPr>
        <w:t>auditing</w:t>
      </w:r>
      <w:r>
        <w:rPr>
          <w:rFonts w:ascii="Arial" w:hAnsi="Arial" w:cs="Arial"/>
        </w:rPr>
        <w:t xml:space="preserve"> 2018 visitor use estimate</w:t>
      </w:r>
      <w:r w:rsidR="00B10FDF">
        <w:rPr>
          <w:rFonts w:ascii="Arial" w:hAnsi="Arial" w:cs="Arial"/>
        </w:rPr>
        <w:t xml:space="preserve"> documentation </w:t>
      </w:r>
      <w:r>
        <w:rPr>
          <w:rFonts w:ascii="Arial" w:hAnsi="Arial" w:cs="Arial"/>
        </w:rPr>
        <w:t>for the parks in the Regional Park System, we noticed that the new entrance opened at the Trout Brook Regional Trail, code 98 (Gateway State Trail Entrance, code 4) does not have usage classifications for weekdays.</w:t>
      </w:r>
    </w:p>
    <w:p w14:paraId="30017F8E" w14:textId="77777777" w:rsidR="00CC1DB9" w:rsidRDefault="00CC1DB9" w:rsidP="00CC1DB9">
      <w:pPr>
        <w:spacing w:after="0" w:line="240" w:lineRule="auto"/>
        <w:rPr>
          <w:rFonts w:ascii="Arial" w:hAnsi="Arial" w:cs="Arial"/>
        </w:rPr>
      </w:pPr>
    </w:p>
    <w:p w14:paraId="75F8A56E" w14:textId="41C95422" w:rsidR="00CC1DB9" w:rsidRDefault="00CC1DB9" w:rsidP="00CC1DB9">
      <w:pPr>
        <w:spacing w:after="0" w:line="240" w:lineRule="auto"/>
        <w:rPr>
          <w:rFonts w:ascii="Arial" w:hAnsi="Arial" w:cs="Arial"/>
        </w:rPr>
      </w:pPr>
      <w:r>
        <w:rPr>
          <w:rFonts w:ascii="Arial" w:hAnsi="Arial" w:cs="Arial"/>
        </w:rPr>
        <w:t>As a quick reminder, usage classifications (either high, medium or low) are determined by comparing the usage of that trail’s entrance in relation to the other’s trails entrances.  So, in this case, the Gateway State Trail Entrance usage should only be labeled as ‘high’ if it appears to match the usage of Trail North Entrance (east of McCarron’s County Park), code 2 on weekdays from 4 to 8 PM, as this is the only entrance at Trout Brook that has any times classified as high usage.</w:t>
      </w:r>
    </w:p>
    <w:p w14:paraId="63AD7870" w14:textId="10F24399" w:rsidR="00CC1DB9" w:rsidRDefault="00CC1DB9" w:rsidP="00CC1DB9">
      <w:pPr>
        <w:spacing w:after="0" w:line="240" w:lineRule="auto"/>
        <w:rPr>
          <w:rFonts w:ascii="Arial" w:hAnsi="Arial" w:cs="Arial"/>
        </w:rPr>
      </w:pPr>
    </w:p>
    <w:p w14:paraId="3917EF11" w14:textId="52EFA709" w:rsidR="00CC1DB9" w:rsidRDefault="00B10FDF" w:rsidP="00CC1DB9">
      <w:pPr>
        <w:spacing w:after="0" w:line="240" w:lineRule="auto"/>
        <w:rPr>
          <w:rFonts w:ascii="Arial" w:hAnsi="Arial" w:cs="Arial"/>
        </w:rPr>
      </w:pPr>
      <w:r>
        <w:rPr>
          <w:rFonts w:ascii="Arial" w:hAnsi="Arial" w:cs="Arial"/>
        </w:rPr>
        <w:t xml:space="preserve">You can use the table below to designate </w:t>
      </w:r>
      <w:r w:rsidR="00CC1DB9">
        <w:rPr>
          <w:rFonts w:ascii="Arial" w:hAnsi="Arial" w:cs="Arial"/>
        </w:rPr>
        <w:t xml:space="preserve">each timeslot </w:t>
      </w:r>
      <w:r>
        <w:rPr>
          <w:rFonts w:ascii="Arial" w:hAnsi="Arial" w:cs="Arial"/>
        </w:rPr>
        <w:t xml:space="preserve">at the Gateway State Trail Entrance of Trout Brook Regional Trail </w:t>
      </w:r>
      <w:r w:rsidR="00CC1DB9">
        <w:rPr>
          <w:rFonts w:ascii="Arial" w:hAnsi="Arial" w:cs="Arial"/>
        </w:rPr>
        <w:t>as either ‘high’, ‘medium’ or ‘low’</w:t>
      </w:r>
      <w:r>
        <w:rPr>
          <w:rFonts w:ascii="Arial" w:hAnsi="Arial" w:cs="Arial"/>
        </w:rPr>
        <w:t>.</w:t>
      </w:r>
    </w:p>
    <w:p w14:paraId="6B0C005E" w14:textId="4676F72E" w:rsidR="00CC1DB9" w:rsidRDefault="00CC1DB9" w:rsidP="00CC1DB9">
      <w:pPr>
        <w:spacing w:after="0" w:line="240" w:lineRule="auto"/>
        <w:rPr>
          <w:rFonts w:ascii="Arial" w:hAnsi="Arial" w:cs="Arial"/>
        </w:rPr>
      </w:pPr>
    </w:p>
    <w:tbl>
      <w:tblPr>
        <w:tblStyle w:val="TableGrid"/>
        <w:tblW w:w="0" w:type="auto"/>
        <w:tblLook w:val="04A0" w:firstRow="1" w:lastRow="0" w:firstColumn="1" w:lastColumn="0" w:noHBand="0" w:noVBand="1"/>
      </w:tblPr>
      <w:tblGrid>
        <w:gridCol w:w="1520"/>
        <w:gridCol w:w="1581"/>
        <w:gridCol w:w="1608"/>
        <w:gridCol w:w="1590"/>
        <w:gridCol w:w="1590"/>
        <w:gridCol w:w="1461"/>
      </w:tblGrid>
      <w:tr w:rsidR="00CC1DB9" w14:paraId="76C2AEE1" w14:textId="3F9A0ACC" w:rsidTr="00CC1DB9">
        <w:tc>
          <w:tcPr>
            <w:tcW w:w="1520" w:type="dxa"/>
            <w:shd w:val="clear" w:color="auto" w:fill="000000" w:themeFill="text1"/>
          </w:tcPr>
          <w:p w14:paraId="58A811EB" w14:textId="49735E43" w:rsidR="00CC1DB9" w:rsidRDefault="00CC1DB9" w:rsidP="00CC1DB9">
            <w:pPr>
              <w:rPr>
                <w:rFonts w:ascii="Arial" w:hAnsi="Arial" w:cs="Arial"/>
              </w:rPr>
            </w:pPr>
            <w:r>
              <w:rPr>
                <w:rFonts w:ascii="Arial" w:hAnsi="Arial" w:cs="Arial"/>
              </w:rPr>
              <w:t>8AM-10AM</w:t>
            </w:r>
          </w:p>
        </w:tc>
        <w:tc>
          <w:tcPr>
            <w:tcW w:w="1581" w:type="dxa"/>
            <w:shd w:val="clear" w:color="auto" w:fill="000000" w:themeFill="text1"/>
          </w:tcPr>
          <w:p w14:paraId="42C44B06" w14:textId="25FAB8DC" w:rsidR="00CC1DB9" w:rsidRDefault="00CC1DB9" w:rsidP="00CC1DB9">
            <w:pPr>
              <w:rPr>
                <w:rFonts w:ascii="Arial" w:hAnsi="Arial" w:cs="Arial"/>
              </w:rPr>
            </w:pPr>
            <w:r>
              <w:rPr>
                <w:rFonts w:ascii="Arial" w:hAnsi="Arial" w:cs="Arial"/>
              </w:rPr>
              <w:t>10-noon</w:t>
            </w:r>
          </w:p>
        </w:tc>
        <w:tc>
          <w:tcPr>
            <w:tcW w:w="1608" w:type="dxa"/>
            <w:shd w:val="clear" w:color="auto" w:fill="000000" w:themeFill="text1"/>
          </w:tcPr>
          <w:p w14:paraId="7F7EF92C" w14:textId="06739645" w:rsidR="00CC1DB9" w:rsidRDefault="00CC1DB9" w:rsidP="00CC1DB9">
            <w:pPr>
              <w:rPr>
                <w:rFonts w:ascii="Arial" w:hAnsi="Arial" w:cs="Arial"/>
              </w:rPr>
            </w:pPr>
            <w:r>
              <w:rPr>
                <w:rFonts w:ascii="Arial" w:hAnsi="Arial" w:cs="Arial"/>
              </w:rPr>
              <w:t>Noon-2PM</w:t>
            </w:r>
          </w:p>
        </w:tc>
        <w:tc>
          <w:tcPr>
            <w:tcW w:w="1590" w:type="dxa"/>
            <w:shd w:val="clear" w:color="auto" w:fill="000000" w:themeFill="text1"/>
          </w:tcPr>
          <w:p w14:paraId="4529FE93" w14:textId="04925188" w:rsidR="00CC1DB9" w:rsidRDefault="00CC1DB9" w:rsidP="00CC1DB9">
            <w:pPr>
              <w:rPr>
                <w:rFonts w:ascii="Arial" w:hAnsi="Arial" w:cs="Arial"/>
              </w:rPr>
            </w:pPr>
            <w:r>
              <w:rPr>
                <w:rFonts w:ascii="Arial" w:hAnsi="Arial" w:cs="Arial"/>
              </w:rPr>
              <w:t>2PM-4PM</w:t>
            </w:r>
          </w:p>
        </w:tc>
        <w:tc>
          <w:tcPr>
            <w:tcW w:w="1590" w:type="dxa"/>
            <w:shd w:val="clear" w:color="auto" w:fill="000000" w:themeFill="text1"/>
          </w:tcPr>
          <w:p w14:paraId="77183553" w14:textId="36A8E27C" w:rsidR="00CC1DB9" w:rsidRDefault="00CC1DB9" w:rsidP="00CC1DB9">
            <w:pPr>
              <w:rPr>
                <w:rFonts w:ascii="Arial" w:hAnsi="Arial" w:cs="Arial"/>
              </w:rPr>
            </w:pPr>
            <w:r>
              <w:rPr>
                <w:rFonts w:ascii="Arial" w:hAnsi="Arial" w:cs="Arial"/>
              </w:rPr>
              <w:t>4PM-6PM</w:t>
            </w:r>
          </w:p>
        </w:tc>
        <w:tc>
          <w:tcPr>
            <w:tcW w:w="1461" w:type="dxa"/>
            <w:shd w:val="clear" w:color="auto" w:fill="000000" w:themeFill="text1"/>
          </w:tcPr>
          <w:p w14:paraId="139CFAFF" w14:textId="3C9137EC" w:rsidR="00CC1DB9" w:rsidRDefault="00CC1DB9" w:rsidP="00CC1DB9">
            <w:pPr>
              <w:rPr>
                <w:rFonts w:ascii="Arial" w:hAnsi="Arial" w:cs="Arial"/>
              </w:rPr>
            </w:pPr>
            <w:r>
              <w:rPr>
                <w:rFonts w:ascii="Arial" w:hAnsi="Arial" w:cs="Arial"/>
              </w:rPr>
              <w:t>6PM-8PM</w:t>
            </w:r>
          </w:p>
        </w:tc>
      </w:tr>
      <w:tr w:rsidR="00CC1DB9" w14:paraId="56F7E237" w14:textId="0855B5AC" w:rsidTr="00CC1DB9">
        <w:tc>
          <w:tcPr>
            <w:tcW w:w="1520" w:type="dxa"/>
          </w:tcPr>
          <w:p w14:paraId="25BBE626" w14:textId="77777777" w:rsidR="00CC1DB9" w:rsidRDefault="00CC1DB9" w:rsidP="00CC1DB9">
            <w:pPr>
              <w:rPr>
                <w:rFonts w:ascii="Arial" w:hAnsi="Arial" w:cs="Arial"/>
              </w:rPr>
            </w:pPr>
          </w:p>
        </w:tc>
        <w:tc>
          <w:tcPr>
            <w:tcW w:w="1581" w:type="dxa"/>
          </w:tcPr>
          <w:p w14:paraId="347915C0" w14:textId="77777777" w:rsidR="00CC1DB9" w:rsidRDefault="00CC1DB9" w:rsidP="00CC1DB9">
            <w:pPr>
              <w:rPr>
                <w:rFonts w:ascii="Arial" w:hAnsi="Arial" w:cs="Arial"/>
              </w:rPr>
            </w:pPr>
          </w:p>
        </w:tc>
        <w:tc>
          <w:tcPr>
            <w:tcW w:w="1608" w:type="dxa"/>
          </w:tcPr>
          <w:p w14:paraId="24442757" w14:textId="77777777" w:rsidR="00CC1DB9" w:rsidRDefault="00CC1DB9" w:rsidP="00CC1DB9">
            <w:pPr>
              <w:rPr>
                <w:rFonts w:ascii="Arial" w:hAnsi="Arial" w:cs="Arial"/>
              </w:rPr>
            </w:pPr>
          </w:p>
        </w:tc>
        <w:tc>
          <w:tcPr>
            <w:tcW w:w="1590" w:type="dxa"/>
          </w:tcPr>
          <w:p w14:paraId="65A5FE1C" w14:textId="77777777" w:rsidR="00CC1DB9" w:rsidRDefault="00CC1DB9" w:rsidP="00CC1DB9">
            <w:pPr>
              <w:rPr>
                <w:rFonts w:ascii="Arial" w:hAnsi="Arial" w:cs="Arial"/>
              </w:rPr>
            </w:pPr>
          </w:p>
        </w:tc>
        <w:tc>
          <w:tcPr>
            <w:tcW w:w="1590" w:type="dxa"/>
          </w:tcPr>
          <w:p w14:paraId="2C125948" w14:textId="77777777" w:rsidR="00CC1DB9" w:rsidRDefault="00CC1DB9" w:rsidP="00CC1DB9">
            <w:pPr>
              <w:rPr>
                <w:rFonts w:ascii="Arial" w:hAnsi="Arial" w:cs="Arial"/>
              </w:rPr>
            </w:pPr>
          </w:p>
        </w:tc>
        <w:tc>
          <w:tcPr>
            <w:tcW w:w="1461" w:type="dxa"/>
          </w:tcPr>
          <w:p w14:paraId="5B274154" w14:textId="77777777" w:rsidR="00CC1DB9" w:rsidRDefault="00CC1DB9" w:rsidP="00CC1DB9">
            <w:pPr>
              <w:rPr>
                <w:rFonts w:ascii="Arial" w:hAnsi="Arial" w:cs="Arial"/>
              </w:rPr>
            </w:pPr>
          </w:p>
        </w:tc>
      </w:tr>
    </w:tbl>
    <w:p w14:paraId="5CF5823D" w14:textId="0D45BE22" w:rsidR="00CC1DB9" w:rsidRDefault="00CC1DB9" w:rsidP="00CC1DB9">
      <w:pPr>
        <w:spacing w:after="0" w:line="240" w:lineRule="auto"/>
        <w:rPr>
          <w:rFonts w:ascii="Arial" w:hAnsi="Arial" w:cs="Arial"/>
        </w:rPr>
      </w:pPr>
    </w:p>
    <w:p w14:paraId="479BC6AA" w14:textId="5323CDB1" w:rsidR="00B10FDF" w:rsidRDefault="00B10FDF" w:rsidP="00CC1DB9">
      <w:pPr>
        <w:spacing w:after="0" w:line="240" w:lineRule="auto"/>
        <w:rPr>
          <w:rFonts w:ascii="Arial" w:hAnsi="Arial" w:cs="Arial"/>
        </w:rPr>
      </w:pPr>
      <w:r>
        <w:rPr>
          <w:rFonts w:ascii="Arial" w:hAnsi="Arial" w:cs="Arial"/>
        </w:rPr>
        <w:t>We’d request that you return this table along with the accurate 2018 Qualtrics data, special events and camping estimates for 2018 by February 1, 2019.</w:t>
      </w:r>
    </w:p>
    <w:p w14:paraId="1F96E295" w14:textId="7A7F3B74" w:rsidR="00B10FDF" w:rsidRDefault="00B10FDF" w:rsidP="00CC1DB9">
      <w:pPr>
        <w:spacing w:after="0" w:line="240" w:lineRule="auto"/>
        <w:rPr>
          <w:rFonts w:ascii="Arial" w:hAnsi="Arial" w:cs="Arial"/>
        </w:rPr>
      </w:pPr>
    </w:p>
    <w:p w14:paraId="7E18BC5C" w14:textId="28ED6AAD" w:rsidR="00B10FDF" w:rsidRDefault="00B10FDF" w:rsidP="00CC1DB9">
      <w:pPr>
        <w:spacing w:after="0" w:line="240" w:lineRule="auto"/>
        <w:rPr>
          <w:rFonts w:ascii="Arial" w:hAnsi="Arial" w:cs="Arial"/>
        </w:rPr>
      </w:pPr>
      <w:r>
        <w:rPr>
          <w:rFonts w:ascii="Arial" w:hAnsi="Arial" w:cs="Arial"/>
        </w:rPr>
        <w:t>Thanks much,</w:t>
      </w:r>
    </w:p>
    <w:p w14:paraId="372239ED" w14:textId="7669035F" w:rsidR="00B10FDF" w:rsidRPr="00CC1DB9" w:rsidRDefault="00B10FDF" w:rsidP="00CC1DB9">
      <w:pPr>
        <w:spacing w:after="0" w:line="240" w:lineRule="auto"/>
        <w:rPr>
          <w:rFonts w:ascii="Arial" w:hAnsi="Arial" w:cs="Arial"/>
        </w:rPr>
      </w:pPr>
      <w:r>
        <w:rPr>
          <w:rFonts w:ascii="Arial" w:hAnsi="Arial" w:cs="Arial"/>
        </w:rPr>
        <w:t>Deb</w:t>
      </w:r>
      <w:bookmarkStart w:id="0" w:name="_GoBack"/>
      <w:bookmarkEnd w:id="0"/>
    </w:p>
    <w:sectPr w:rsidR="00B10FDF" w:rsidRPr="00CC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B9"/>
    <w:rsid w:val="00976D5C"/>
    <w:rsid w:val="00B10FDF"/>
    <w:rsid w:val="00CC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DC09"/>
  <w15:chartTrackingRefBased/>
  <w15:docId w15:val="{F0B49B92-04CF-47EC-A8D5-92490141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Nicole</dc:creator>
  <cp:keywords/>
  <dc:description/>
  <cp:lastModifiedBy>Sullivan, Nicole</cp:lastModifiedBy>
  <cp:revision>1</cp:revision>
  <dcterms:created xsi:type="dcterms:W3CDTF">2019-01-17T18:46:00Z</dcterms:created>
  <dcterms:modified xsi:type="dcterms:W3CDTF">2019-01-17T19:00:00Z</dcterms:modified>
</cp:coreProperties>
</file>