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tabs>
          <w:tab w:val="left" w:pos="720" w:leader="none"/>
        </w:tabs>
        <w:spacing w:before="120" w:after="120" w:line="36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tunel ipsec adquirente</w:t>
      </w:r>
    </w:p>
    <w:p>
      <w:pPr>
        <w:keepNext w:val="true"/>
        <w:numPr>
          <w:ilvl w:val="0"/>
          <w:numId w:val="2"/>
        </w:numPr>
        <w:tabs>
          <w:tab w:val="left" w:pos="720" w:leader="none"/>
        </w:tabs>
        <w:spacing w:before="120" w:after="120" w:line="360"/>
        <w:ind w:right="0" w:left="709" w:firstLine="709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PASSOS</w:t>
      </w:r>
    </w:p>
    <w:p>
      <w:pPr>
        <w:keepNext w:val="true"/>
        <w:tabs>
          <w:tab w:val="left" w:pos="720" w:leader="none"/>
        </w:tabs>
        <w:spacing w:before="120" w:after="120" w:line="36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Os passos detalham como acessar os equipamentos onde estão configurados os IPSecs de adquirentes e como validar se estão operacionais.</w:t>
      </w:r>
    </w:p>
    <w:p>
      <w:pPr>
        <w:spacing w:before="0" w:after="0" w:line="240"/>
        <w:ind w:right="0" w:left="1416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360" w:hanging="36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Acesse o equipamento RT-WEB no site em que deseja fazer a verificação, o acesso deverá ser via Winbox.</w:t>
      </w:r>
    </w:p>
    <w:p>
      <w:pPr>
        <w:spacing w:before="0" w:after="0" w:line="240"/>
        <w:ind w:right="0" w:left="1776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Abra o Winbox e acesse o equipamento em quest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ão.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136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object w:dxaOrig="10184" w:dyaOrig="2895">
          <v:rect xmlns:o="urn:schemas-microsoft-com:office:office" xmlns:v="urn:schemas-microsoft-com:vml" id="rectole0000000000" style="width:509.200000pt;height:144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righ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360" w:hanging="360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Dentro do equipamento, identifique se a phase 1 e phase 2 estão UP.</w:t>
      </w:r>
    </w:p>
    <w:p>
      <w:pPr>
        <w:spacing w:before="0" w:after="0" w:line="240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360" w:hanging="360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 Para verificar a </w:t>
      </w:r>
      <w:r>
        <w:rPr>
          <w:rFonts w:ascii="Aptos" w:hAnsi="Aptos" w:cs="Aptos" w:eastAsia="Aptos"/>
          <w:b/>
          <w:color w:val="auto"/>
          <w:spacing w:val="0"/>
          <w:position w:val="0"/>
          <w:sz w:val="20"/>
          <w:shd w:fill="auto" w:val="clear"/>
        </w:rPr>
        <w:t xml:space="preserve">phase 1</w:t>
      </w: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, acesse no menu a opção IP &gt; IPSec &gt; Active Peers</w:t>
      </w:r>
    </w:p>
    <w:p>
      <w:pPr>
        <w:spacing w:before="0" w:after="0" w:line="240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Caso a conexão esteja UP o estado deverá ser “Established” conforme imagem abaixo.</w:t>
      </w:r>
    </w:p>
    <w:p>
      <w:pPr>
        <w:spacing w:before="0" w:after="0" w:line="240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object w:dxaOrig="10244" w:dyaOrig="1417">
          <v:rect xmlns:o="urn:schemas-microsoft-com:office:office" xmlns:v="urn:schemas-microsoft-com:vml" id="rectole0000000001" style="width:512.200000pt;height:70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Caso a phase 1 esteja DOWN, o estado deverá ser semelhante ao abaixo “Message 1 Sent” ou qualquer mensagem diferente de Established.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object w:dxaOrig="10225" w:dyaOrig="1882">
          <v:rect xmlns:o="urn:schemas-microsoft-com:office:office" xmlns:v="urn:schemas-microsoft-com:vml" id="rectole0000000002" style="width:511.250000pt;height:94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9"/>
        </w:numPr>
        <w:spacing w:before="0" w:after="0" w:line="240"/>
        <w:ind w:right="0" w:left="0" w:hanging="360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Validando se a </w:t>
      </w:r>
      <w:r>
        <w:rPr>
          <w:rFonts w:ascii="Aptos" w:hAnsi="Aptos" w:cs="Aptos" w:eastAsia="Aptos"/>
          <w:b/>
          <w:color w:val="auto"/>
          <w:spacing w:val="0"/>
          <w:position w:val="0"/>
          <w:sz w:val="20"/>
          <w:shd w:fill="auto" w:val="clear"/>
        </w:rPr>
        <w:t xml:space="preserve">Phase 2</w:t>
      </w: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 está UP ou Down. Acesse a aba </w:t>
      </w:r>
      <w:r>
        <w:rPr>
          <w:rFonts w:ascii="Aptos" w:hAnsi="Aptos" w:cs="Aptos" w:eastAsia="Aptos"/>
          <w:b/>
          <w:color w:val="auto"/>
          <w:spacing w:val="0"/>
          <w:position w:val="0"/>
          <w:sz w:val="20"/>
          <w:shd w:fill="auto" w:val="clear"/>
        </w:rPr>
        <w:t xml:space="preserve">“policies”.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Se o PH2 state for igual a Established, significa que está UP.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object w:dxaOrig="10225" w:dyaOrig="1903">
          <v:rect xmlns:o="urn:schemas-microsoft-com:office:office" xmlns:v="urn:schemas-microsoft-com:vml" id="rectole0000000003" style="width:511.250000pt;height:95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Caso a phase 2 esteja Down, o PH2 State será semelhante ao abaixo: 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object w:dxaOrig="10225" w:dyaOrig="243">
          <v:rect xmlns:o="urn:schemas-microsoft-com:office:office" xmlns:v="urn:schemas-microsoft-com:vml" id="rectole0000000004" style="width:511.250000pt;height:12.1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Complete a validação verificando se existe SA estabelecido na aba </w:t>
      </w:r>
      <w:r>
        <w:rPr>
          <w:rFonts w:ascii="Aptos" w:hAnsi="Aptos" w:cs="Aptos" w:eastAsia="Aptos"/>
          <w:b/>
          <w:color w:val="auto"/>
          <w:spacing w:val="0"/>
          <w:position w:val="0"/>
          <w:sz w:val="20"/>
          <w:shd w:fill="auto" w:val="clear"/>
        </w:rPr>
        <w:t xml:space="preserve">“Installed SAs”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object w:dxaOrig="9394" w:dyaOrig="1680">
          <v:rect xmlns:o="urn:schemas-microsoft-com:office:office" xmlns:v="urn:schemas-microsoft-com:vml" id="rectole0000000005" style="width:469.700000pt;height:84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Para saber qual SA corresponde a qual tunel, use os campos Src Address ou Dst. Address como referencia.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Por exemplo, o adquirente do print acima é o Peer 200.143.57.77 , que corresponde ao adquirente Dmcard.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object w:dxaOrig="7855" w:dyaOrig="323">
          <v:rect xmlns:o="urn:schemas-microsoft-com:office:office" xmlns:v="urn:schemas-microsoft-com:vml" id="rectole0000000006" style="width:392.750000pt;height:16.1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22"/>
        </w:numPr>
        <w:tabs>
          <w:tab w:val="left" w:pos="720" w:leader="none"/>
        </w:tabs>
        <w:spacing w:before="120" w:after="120" w:line="360"/>
        <w:ind w:right="0" w:left="709" w:firstLine="709"/>
        <w:jc w:val="both"/>
        <w:rPr>
          <w:rFonts w:ascii="Calibri Light" w:hAnsi="Calibri Light" w:cs="Calibri Light" w:eastAsia="Calibri Light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INFORMAçõES ADICIONAIS</w:t>
      </w:r>
    </w:p>
    <w:p>
      <w:pPr>
        <w:spacing w:before="0" w:after="0" w:line="36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Para saber qual é o Peer configurado para o túnel VPN, consulte a aba “</w:t>
      </w:r>
      <w:r>
        <w:rPr>
          <w:rFonts w:ascii="Aptos" w:hAnsi="Aptos" w:cs="Aptos" w:eastAsia="Aptos"/>
          <w:b/>
          <w:color w:val="auto"/>
          <w:spacing w:val="0"/>
          <w:position w:val="0"/>
          <w:sz w:val="20"/>
          <w:shd w:fill="auto" w:val="clear"/>
        </w:rPr>
        <w:t xml:space="preserve">Peers”</w:t>
      </w: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36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object w:dxaOrig="9293" w:dyaOrig="3401">
          <v:rect xmlns:o="urn:schemas-microsoft-com:office:office" xmlns:v="urn:schemas-microsoft-com:vml" id="rectole0000000007" style="width:464.650000pt;height:170.0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36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Para saber qual os dados de Phase 2 configurado para o túnel VPN, consulte a aba </w:t>
      </w:r>
      <w:r>
        <w:rPr>
          <w:rFonts w:ascii="Aptos" w:hAnsi="Aptos" w:cs="Aptos" w:eastAsia="Aptos"/>
          <w:b/>
          <w:color w:val="auto"/>
          <w:spacing w:val="0"/>
          <w:position w:val="0"/>
          <w:sz w:val="20"/>
          <w:shd w:fill="auto" w:val="clear"/>
        </w:rPr>
        <w:t xml:space="preserve">“Policies</w:t>
      </w: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”.</w:t>
      </w:r>
    </w:p>
    <w:p>
      <w:pPr>
        <w:spacing w:before="0" w:after="0" w:line="36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object w:dxaOrig="9192" w:dyaOrig="2632">
          <v:rect xmlns:o="urn:schemas-microsoft-com:office:office" xmlns:v="urn:schemas-microsoft-com:vml" id="rectole0000000008" style="width:459.600000pt;height:131.6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36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Clique na policy que deseja verificar para abrir o detalhamento da configuração  </w:t>
      </w:r>
      <w:r>
        <w:object w:dxaOrig="5973" w:dyaOrig="4272">
          <v:rect xmlns:o="urn:schemas-microsoft-com:office:office" xmlns:v="urn:schemas-microsoft-com:vml" id="rectole0000000009" style="width:298.650000pt;height:213.6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36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Para mais informações baixe o documento para ter visualização total do procedimento.</w:t>
      </w:r>
    </w:p>
    <w:p>
      <w:pPr>
        <w:spacing w:before="0" w:after="0" w:line="36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">
    <w:abstractNumId w:val="36"/>
  </w:num>
  <w:num w:numId="5">
    <w:abstractNumId w:val="30"/>
  </w:num>
  <w:num w:numId="7">
    <w:abstractNumId w:val="24"/>
  </w:num>
  <w:num w:numId="12">
    <w:abstractNumId w:val="18"/>
  </w:num>
  <w:num w:numId="14">
    <w:abstractNumId w:val="12"/>
  </w:num>
  <w:num w:numId="19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