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1221" w:rsidRDefault="00A72C57">
      <w:pPr>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Comparison of </w:t>
      </w:r>
      <w:bookmarkStart w:id="0" w:name="_GoBack"/>
      <w:bookmarkEnd w:id="0"/>
      <w:r w:rsidR="00764377">
        <w:rPr>
          <w:rFonts w:ascii="Times New Roman" w:eastAsia="Times New Roman" w:hAnsi="Times New Roman" w:cs="Times New Roman"/>
          <w:b/>
          <w:sz w:val="28"/>
          <w:szCs w:val="28"/>
        </w:rPr>
        <w:t>Risk-Adjusted Returns: Long-Term Bonds vs Dividend Stocks</w:t>
      </w:r>
    </w:p>
    <w:p w:rsidR="00F31221" w:rsidRDefault="00764377" w:rsidP="00936C0D">
      <w:pPr>
        <w:contextualSpacing w:val="0"/>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Sully Dawood 260679328</w:t>
      </w:r>
    </w:p>
    <w:p w:rsidR="00F31221" w:rsidRDefault="00764377">
      <w:pPr>
        <w:contextualSpacing w:val="0"/>
        <w:jc w:val="center"/>
        <w:rPr>
          <w:rFonts w:ascii="Times New Roman" w:eastAsia="Times New Roman" w:hAnsi="Times New Roman" w:cs="Times New Roman"/>
          <w:i/>
          <w:sz w:val="28"/>
          <w:szCs w:val="28"/>
        </w:rPr>
      </w:pPr>
      <w:r>
        <w:rPr>
          <w:rFonts w:ascii="Times New Roman" w:eastAsia="Times New Roman" w:hAnsi="Times New Roman" w:cs="Times New Roman"/>
          <w:sz w:val="28"/>
          <w:szCs w:val="28"/>
        </w:rPr>
        <w:t>D</w:t>
      </w:r>
      <w:r>
        <w:rPr>
          <w:rFonts w:ascii="Times New Roman" w:eastAsia="Times New Roman" w:hAnsi="Times New Roman" w:cs="Times New Roman"/>
          <w:sz w:val="28"/>
          <w:szCs w:val="28"/>
        </w:rPr>
        <w:t>ecember 4, 2018</w:t>
      </w:r>
      <w:r>
        <w:rPr>
          <w:rFonts w:ascii="Times New Roman" w:eastAsia="Times New Roman" w:hAnsi="Times New Roman" w:cs="Times New Roman"/>
          <w:i/>
          <w:sz w:val="28"/>
          <w:szCs w:val="28"/>
        </w:rPr>
        <w:t xml:space="preserve"> </w:t>
      </w:r>
    </w:p>
    <w:p w:rsidR="00F31221" w:rsidRDefault="00F31221">
      <w:pPr>
        <w:contextualSpacing w:val="0"/>
        <w:rPr>
          <w:rFonts w:ascii="Times New Roman" w:eastAsia="Times New Roman" w:hAnsi="Times New Roman" w:cs="Times New Roman"/>
          <w:i/>
          <w:sz w:val="28"/>
          <w:szCs w:val="28"/>
        </w:rPr>
      </w:pPr>
    </w:p>
    <w:p w:rsidR="00F31221" w:rsidRDefault="00764377">
      <w:pPr>
        <w:contextualSpacing w:val="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Introduction</w:t>
      </w:r>
    </w:p>
    <w:p w:rsidR="00F31221" w:rsidRDefault="00F31221">
      <w:pPr>
        <w:contextualSpacing w:val="0"/>
        <w:rPr>
          <w:rFonts w:ascii="Times New Roman" w:eastAsia="Times New Roman" w:hAnsi="Times New Roman" w:cs="Times New Roman"/>
          <w:sz w:val="26"/>
          <w:szCs w:val="26"/>
        </w:rPr>
      </w:pPr>
    </w:p>
    <w:p w:rsidR="00F31221" w:rsidRDefault="00764377">
      <w:pPr>
        <w:spacing w:line="480" w:lineRule="auto"/>
        <w:ind w:firstLine="720"/>
        <w:contextualSpacing w:val="0"/>
        <w:rPr>
          <w:rFonts w:ascii="Times New Roman" w:eastAsia="Times New Roman" w:hAnsi="Times New Roman" w:cs="Times New Roman"/>
          <w:sz w:val="26"/>
          <w:szCs w:val="26"/>
        </w:rPr>
      </w:pPr>
      <w:r>
        <w:rPr>
          <w:rFonts w:ascii="Times New Roman" w:eastAsia="Times New Roman" w:hAnsi="Times New Roman" w:cs="Times New Roman"/>
          <w:sz w:val="26"/>
          <w:szCs w:val="26"/>
        </w:rPr>
        <w:t>Historically, government/long-term bonds have been a safer investment than equities. However, stocks have also provided higher historical returns (means) relative to bonds. When it comes to investors looking for regular stream of income, bonds are recommen</w:t>
      </w:r>
      <w:r>
        <w:rPr>
          <w:rFonts w:ascii="Times New Roman" w:eastAsia="Times New Roman" w:hAnsi="Times New Roman" w:cs="Times New Roman"/>
          <w:sz w:val="26"/>
          <w:szCs w:val="26"/>
        </w:rPr>
        <w:t xml:space="preserve">ded. Therefore, it is not uncommon to see risk-averse investors preferring to invest in bonds than stocks. However, long-term bonds are also very sensitive to the macroeconomic factors, such as interest rates, and undergo price fluctuations. Moreover they </w:t>
      </w:r>
      <w:r>
        <w:rPr>
          <w:rFonts w:ascii="Times New Roman" w:eastAsia="Times New Roman" w:hAnsi="Times New Roman" w:cs="Times New Roman"/>
          <w:sz w:val="26"/>
          <w:szCs w:val="26"/>
        </w:rPr>
        <w:t xml:space="preserve">only return a fixed amount returned at the maturity. Hence, when considered in the shorter term than their maturity, these instruments cannot be given the safest heaven status.  </w:t>
      </w:r>
    </w:p>
    <w:p w:rsidR="00F31221" w:rsidRDefault="00764377">
      <w:pPr>
        <w:spacing w:line="480" w:lineRule="auto"/>
        <w:ind w:firstLine="720"/>
        <w:contextualSpacing w:val="0"/>
        <w:rPr>
          <w:rFonts w:ascii="Times New Roman" w:eastAsia="Times New Roman" w:hAnsi="Times New Roman" w:cs="Times New Roman"/>
          <w:sz w:val="26"/>
          <w:szCs w:val="26"/>
        </w:rPr>
      </w:pPr>
      <w:r>
        <w:rPr>
          <w:rFonts w:ascii="Times New Roman" w:eastAsia="Times New Roman" w:hAnsi="Times New Roman" w:cs="Times New Roman"/>
          <w:sz w:val="26"/>
          <w:szCs w:val="26"/>
        </w:rPr>
        <w:t>For our targeted investor group, which are risk-averse investors (such as ret</w:t>
      </w:r>
      <w:r>
        <w:rPr>
          <w:rFonts w:ascii="Times New Roman" w:eastAsia="Times New Roman" w:hAnsi="Times New Roman" w:cs="Times New Roman"/>
          <w:sz w:val="26"/>
          <w:szCs w:val="26"/>
        </w:rPr>
        <w:t>irees and pension boards), we are attempting to look into comparing these options with stocks which pay considerable dividends on a periodic basis. Moreover, while it is true that these investments don't guarantee a fixed disbursement on a certain maturity</w:t>
      </w:r>
      <w:r>
        <w:rPr>
          <w:rFonts w:ascii="Times New Roman" w:eastAsia="Times New Roman" w:hAnsi="Times New Roman" w:cs="Times New Roman"/>
          <w:sz w:val="26"/>
          <w:szCs w:val="26"/>
        </w:rPr>
        <w:t xml:space="preserve"> date, they still offer a growth appreciation opportunity for their investors in terms of potential capital gains for their investors.</w:t>
      </w:r>
    </w:p>
    <w:p w:rsidR="00F31221" w:rsidRDefault="00764377">
      <w:pPr>
        <w:spacing w:line="480" w:lineRule="auto"/>
        <w:ind w:firstLine="720"/>
        <w:contextualSpacing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 the graph above, we have calculated trailing returns on ETF Bonds, Dividend Stocks, and the S&amp;P 500 for the period we </w:t>
      </w:r>
      <w:r>
        <w:rPr>
          <w:rFonts w:ascii="Times New Roman" w:eastAsia="Times New Roman" w:hAnsi="Times New Roman" w:cs="Times New Roman"/>
          <w:sz w:val="26"/>
          <w:szCs w:val="26"/>
        </w:rPr>
        <w:t xml:space="preserve">will analyze in this report - July 2002 to October 2018. We find that there seems to be a negative correlation between stocks and </w:t>
      </w:r>
      <w:r>
        <w:rPr>
          <w:rFonts w:ascii="Times New Roman" w:eastAsia="Times New Roman" w:hAnsi="Times New Roman" w:cs="Times New Roman"/>
          <w:sz w:val="26"/>
          <w:szCs w:val="26"/>
        </w:rPr>
        <w:lastRenderedPageBreak/>
        <w:t>bonds. In this report, we will try to analyze the driving risk factors behind these risk factors, determine the relationship b</w:t>
      </w:r>
      <w:r>
        <w:rPr>
          <w:rFonts w:ascii="Times New Roman" w:eastAsia="Times New Roman" w:hAnsi="Times New Roman" w:cs="Times New Roman"/>
          <w:sz w:val="26"/>
          <w:szCs w:val="26"/>
        </w:rPr>
        <w:t>etween the Dividend Stocks and long-term ETF bonds, and delve into the possibilities of maximizing our risk-adjusted return by using the said relationship.</w:t>
      </w:r>
      <w:r>
        <w:rPr>
          <w:noProof/>
        </w:rPr>
        <w:drawing>
          <wp:anchor distT="114300" distB="114300" distL="114300" distR="114300" simplePos="0" relativeHeight="251658240" behindDoc="0" locked="0" layoutInCell="1" hidden="0" allowOverlap="1">
            <wp:simplePos x="0" y="0"/>
            <wp:positionH relativeFrom="column">
              <wp:posOffset>114300</wp:posOffset>
            </wp:positionH>
            <wp:positionV relativeFrom="paragraph">
              <wp:posOffset>114300</wp:posOffset>
            </wp:positionV>
            <wp:extent cx="5943600" cy="3175000"/>
            <wp:effectExtent l="0" t="0" r="0" b="0"/>
            <wp:wrapSquare wrapText="bothSides" distT="114300" distB="114300" distL="114300" distR="11430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943600" cy="3175000"/>
                    </a:xfrm>
                    <a:prstGeom prst="rect">
                      <a:avLst/>
                    </a:prstGeom>
                    <a:ln/>
                  </pic:spPr>
                </pic:pic>
              </a:graphicData>
            </a:graphic>
          </wp:anchor>
        </w:drawing>
      </w:r>
    </w:p>
    <w:p w:rsidR="00F31221" w:rsidRDefault="00764377">
      <w:pPr>
        <w:contextualSpacing w:val="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Methodology</w:t>
      </w:r>
    </w:p>
    <w:p w:rsidR="00F31221" w:rsidRDefault="00F31221">
      <w:pPr>
        <w:contextualSpacing w:val="0"/>
        <w:rPr>
          <w:rFonts w:ascii="Times New Roman" w:eastAsia="Times New Roman" w:hAnsi="Times New Roman" w:cs="Times New Roman"/>
          <w:sz w:val="26"/>
          <w:szCs w:val="26"/>
        </w:rPr>
      </w:pPr>
    </w:p>
    <w:p w:rsidR="00F31221" w:rsidRDefault="00764377">
      <w:pPr>
        <w:spacing w:line="480" w:lineRule="auto"/>
        <w:ind w:firstLine="720"/>
        <w:contextualSpacing w:val="0"/>
        <w:rPr>
          <w:rFonts w:ascii="Times New Roman" w:eastAsia="Times New Roman" w:hAnsi="Times New Roman" w:cs="Times New Roman"/>
          <w:sz w:val="26"/>
          <w:szCs w:val="26"/>
        </w:rPr>
      </w:pPr>
      <w:r>
        <w:rPr>
          <w:rFonts w:ascii="Times New Roman" w:eastAsia="Times New Roman" w:hAnsi="Times New Roman" w:cs="Times New Roman"/>
          <w:sz w:val="26"/>
          <w:szCs w:val="26"/>
        </w:rPr>
        <w:t>Why would someone want to invest in dividend stocks instead of bonds? There is a belie</w:t>
      </w:r>
      <w:r>
        <w:rPr>
          <w:rFonts w:ascii="Times New Roman" w:eastAsia="Times New Roman" w:hAnsi="Times New Roman" w:cs="Times New Roman"/>
          <w:sz w:val="26"/>
          <w:szCs w:val="26"/>
        </w:rPr>
        <w:t>f that long-term government bonds and dividend stocks have similar risk/reward profiles. Especially when looking at  dividend stocks with a large market cap which</w:t>
      </w:r>
    </w:p>
    <w:p w:rsidR="00F31221" w:rsidRDefault="00F31221">
      <w:pPr>
        <w:spacing w:line="480" w:lineRule="auto"/>
        <w:ind w:firstLine="720"/>
        <w:contextualSpacing w:val="0"/>
        <w:rPr>
          <w:rFonts w:ascii="Times New Roman" w:eastAsia="Times New Roman" w:hAnsi="Times New Roman" w:cs="Times New Roman"/>
          <w:sz w:val="26"/>
          <w:szCs w:val="26"/>
        </w:rPr>
      </w:pPr>
    </w:p>
    <w:p w:rsidR="00F31221" w:rsidRDefault="00764377">
      <w:pPr>
        <w:spacing w:line="480" w:lineRule="auto"/>
        <w:contextualSpacing w:val="0"/>
        <w:rPr>
          <w:rFonts w:ascii="Times New Roman" w:eastAsia="Times New Roman" w:hAnsi="Times New Roman" w:cs="Times New Roman"/>
          <w:sz w:val="26"/>
          <w:szCs w:val="26"/>
        </w:rPr>
      </w:pPr>
      <w:r>
        <w:rPr>
          <w:rFonts w:ascii="Times New Roman" w:eastAsia="Times New Roman" w:hAnsi="Times New Roman" w:cs="Times New Roman"/>
          <w:sz w:val="26"/>
          <w:szCs w:val="26"/>
        </w:rPr>
        <w:t>might have a very low probability of default. However, they are not quite identical, and the</w:t>
      </w:r>
      <w:r>
        <w:rPr>
          <w:rFonts w:ascii="Times New Roman" w:eastAsia="Times New Roman" w:hAnsi="Times New Roman" w:cs="Times New Roman"/>
          <w:sz w:val="26"/>
          <w:szCs w:val="26"/>
        </w:rPr>
        <w:t>y have key differences that could make one investment more favorable than the other. While many dividend stocks may be less volatile than some other equities, they are still subject to many of the factors that impact the stock market as a whole. Thus, hist</w:t>
      </w:r>
      <w:r>
        <w:rPr>
          <w:rFonts w:ascii="Times New Roman" w:eastAsia="Times New Roman" w:hAnsi="Times New Roman" w:cs="Times New Roman"/>
          <w:sz w:val="26"/>
          <w:szCs w:val="26"/>
        </w:rPr>
        <w:t xml:space="preserve">orically, </w:t>
      </w:r>
      <w:r>
        <w:rPr>
          <w:rFonts w:ascii="Times New Roman" w:eastAsia="Times New Roman" w:hAnsi="Times New Roman" w:cs="Times New Roman"/>
          <w:sz w:val="26"/>
          <w:szCs w:val="26"/>
        </w:rPr>
        <w:lastRenderedPageBreak/>
        <w:t>the volatility of bonds even at their worst has been far lower than that of dividend stocks. In this case, we will consider government bonds since these are low risk investment options very appropriate for the segment we’re targeting. Also, divid</w:t>
      </w:r>
      <w:r>
        <w:rPr>
          <w:rFonts w:ascii="Times New Roman" w:eastAsia="Times New Roman" w:hAnsi="Times New Roman" w:cs="Times New Roman"/>
          <w:sz w:val="26"/>
          <w:szCs w:val="26"/>
        </w:rPr>
        <w:t>ends on common stock are set by the corporation. While companies generally like to maintain their dividend payout ratio there are no guarantees here. The company could potentially run into cash flow problems or decide to use some of this cash to finance in</w:t>
      </w:r>
      <w:r>
        <w:rPr>
          <w:rFonts w:ascii="Times New Roman" w:eastAsia="Times New Roman" w:hAnsi="Times New Roman" w:cs="Times New Roman"/>
          <w:sz w:val="26"/>
          <w:szCs w:val="26"/>
        </w:rPr>
        <w:t>ternal growth rather than pay out its shareholders. So, it may seem that bonds are the safer option. But, with money market rates close to zero and other instruments at historically low rates, it is unrealistic for a retiree or other income-oriented invest</w:t>
      </w:r>
      <w:r>
        <w:rPr>
          <w:rFonts w:ascii="Times New Roman" w:eastAsia="Times New Roman" w:hAnsi="Times New Roman" w:cs="Times New Roman"/>
          <w:sz w:val="26"/>
          <w:szCs w:val="26"/>
        </w:rPr>
        <w:t>or to expect to live off the interest and not touch their capital. Investors looking for income need to move farther out on the risk spectrum. Thus, dividend stocks look to become a valid alternative. As a result, it becomes somewhat crucial for these type</w:t>
      </w:r>
      <w:r>
        <w:rPr>
          <w:rFonts w:ascii="Times New Roman" w:eastAsia="Times New Roman" w:hAnsi="Times New Roman" w:cs="Times New Roman"/>
          <w:sz w:val="26"/>
          <w:szCs w:val="26"/>
        </w:rPr>
        <w:t>s of investors to consider whether they should invest more of their wealth in long-term bonds or dividend stocks and even a combination of both.  Once we compare Long-Term Bond portfolios to Dividend Stock portfolios, we will look to create a diversified p</w:t>
      </w:r>
      <w:r>
        <w:rPr>
          <w:rFonts w:ascii="Times New Roman" w:eastAsia="Times New Roman" w:hAnsi="Times New Roman" w:cs="Times New Roman"/>
          <w:sz w:val="26"/>
          <w:szCs w:val="26"/>
        </w:rPr>
        <w:t>ortfolio, and determine if  it performs better than either portfolio individually. As for evaluating the performance of these three types of investments, we will use monthly data to calculate the annualized returns, standard deviations, Sharpe Ratios and c</w:t>
      </w:r>
      <w:r>
        <w:rPr>
          <w:rFonts w:ascii="Times New Roman" w:eastAsia="Times New Roman" w:hAnsi="Times New Roman" w:cs="Times New Roman"/>
          <w:sz w:val="26"/>
          <w:szCs w:val="26"/>
        </w:rPr>
        <w:t>ertainty equivalence returns. The standard deviation was calculated using annualized standard deviation of monthly returns.</w:t>
      </w:r>
    </w:p>
    <w:p w:rsidR="00F31221" w:rsidRDefault="00764377">
      <w:pPr>
        <w:spacing w:line="480" w:lineRule="auto"/>
        <w:ind w:firstLine="720"/>
        <w:contextualSpacing w:val="0"/>
        <w:rPr>
          <w:rFonts w:ascii="Times New Roman" w:eastAsia="Times New Roman" w:hAnsi="Times New Roman" w:cs="Times New Roman"/>
          <w:sz w:val="26"/>
          <w:szCs w:val="26"/>
        </w:rPr>
      </w:pPr>
      <w:r>
        <w:rPr>
          <w:rFonts w:ascii="Times New Roman" w:eastAsia="Times New Roman" w:hAnsi="Times New Roman" w:cs="Times New Roman"/>
          <w:sz w:val="26"/>
          <w:szCs w:val="26"/>
        </w:rPr>
        <w:t>We will also analyze risk-adjusted returns and optimal portfolios between Long-Term ETF Bonds and Dividend Stocks through creating a</w:t>
      </w:r>
      <w:r>
        <w:rPr>
          <w:rFonts w:ascii="Times New Roman" w:eastAsia="Times New Roman" w:hAnsi="Times New Roman" w:cs="Times New Roman"/>
          <w:sz w:val="26"/>
          <w:szCs w:val="26"/>
        </w:rPr>
        <w:t xml:space="preserve">n Efficient Frontier on the data from July 2002 to October 2018. The reason our analysis could not go further back is due </w:t>
      </w:r>
      <w:r>
        <w:rPr>
          <w:rFonts w:ascii="Times New Roman" w:eastAsia="Times New Roman" w:hAnsi="Times New Roman" w:cs="Times New Roman"/>
          <w:sz w:val="26"/>
          <w:szCs w:val="26"/>
        </w:rPr>
        <w:lastRenderedPageBreak/>
        <w:t>to the restriction on data on long-term bonds, specifically 20-year ETF Bonds. Nevertheless, our procedure should allow us to consider</w:t>
      </w:r>
      <w:r>
        <w:rPr>
          <w:rFonts w:ascii="Times New Roman" w:eastAsia="Times New Roman" w:hAnsi="Times New Roman" w:cs="Times New Roman"/>
          <w:sz w:val="26"/>
          <w:szCs w:val="26"/>
        </w:rPr>
        <w:t xml:space="preserve"> optimal weights between the two Assets to analyze how to maximize returns for a given level of risk, or to minimize risk for a given level of return. Moreover, we will also consider introducing a 3-month Treasury Bill (T-Bill) into our Efficient Frontier </w:t>
      </w:r>
      <w:r>
        <w:rPr>
          <w:rFonts w:ascii="Times New Roman" w:eastAsia="Times New Roman" w:hAnsi="Times New Roman" w:cs="Times New Roman"/>
          <w:sz w:val="26"/>
          <w:szCs w:val="26"/>
        </w:rPr>
        <w:t>calculation to create the tangent Capital Market Line and determine what would be the optimal portfolio weights between the two risky and one risk-free asset.</w:t>
      </w:r>
    </w:p>
    <w:p w:rsidR="00F31221" w:rsidRDefault="00764377">
      <w:pPr>
        <w:spacing w:line="480" w:lineRule="auto"/>
        <w:ind w:firstLine="720"/>
        <w:contextualSpacing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In order for us to determine which investment option will provide the best risk-adjusted return,</w:t>
      </w:r>
      <w:r>
        <w:rPr>
          <w:rFonts w:ascii="Times New Roman" w:eastAsia="Times New Roman" w:hAnsi="Times New Roman" w:cs="Times New Roman"/>
          <w:sz w:val="26"/>
          <w:szCs w:val="26"/>
        </w:rPr>
        <w:t xml:space="preserve"> we need to compare Sharpe Ratios for our alternatives. The Sharpe ratio is a widely-used method for calculating risk-adjusted returns and is defined as follows: </w:t>
      </w:r>
      <m:oMath>
        <m:r>
          <w:rPr>
            <w:rFonts w:ascii="Times New Roman" w:eastAsia="Times New Roman" w:hAnsi="Times New Roman" w:cs="Times New Roman"/>
            <w:sz w:val="26"/>
            <w:szCs w:val="26"/>
          </w:rPr>
          <m:t>S</m:t>
        </m:r>
        <m:r>
          <w:rPr>
            <w:rFonts w:ascii="Times New Roman" w:eastAsia="Times New Roman" w:hAnsi="Times New Roman" w:cs="Times New Roman"/>
            <w:sz w:val="26"/>
            <w:szCs w:val="26"/>
          </w:rPr>
          <m:t>h</m:t>
        </m:r>
        <m:r>
          <w:rPr>
            <w:rFonts w:ascii="Times New Roman" w:eastAsia="Times New Roman" w:hAnsi="Times New Roman" w:cs="Times New Roman"/>
            <w:sz w:val="26"/>
            <w:szCs w:val="26"/>
          </w:rPr>
          <m:t>arpe</m:t>
        </m:r>
        <m:r>
          <w:rPr>
            <w:rFonts w:ascii="Times New Roman" w:eastAsia="Times New Roman" w:hAnsi="Times New Roman" w:cs="Times New Roman"/>
            <w:sz w:val="26"/>
            <w:szCs w:val="26"/>
          </w:rPr>
          <m:t xml:space="preserve"> </m:t>
        </m:r>
        <m:r>
          <w:rPr>
            <w:rFonts w:ascii="Times New Roman" w:eastAsia="Times New Roman" w:hAnsi="Times New Roman" w:cs="Times New Roman"/>
            <w:sz w:val="26"/>
            <w:szCs w:val="26"/>
          </w:rPr>
          <m:t>Ratio</m:t>
        </m:r>
        <m:r>
          <w:rPr>
            <w:rFonts w:ascii="Times New Roman" w:eastAsia="Times New Roman" w:hAnsi="Times New Roman" w:cs="Times New Roman"/>
            <w:sz w:val="26"/>
            <w:szCs w:val="26"/>
          </w:rPr>
          <m:t>=</m:t>
        </m:r>
        <m:f>
          <m:fPr>
            <m:ctrlPr>
              <w:rPr>
                <w:rFonts w:ascii="Times New Roman" w:eastAsia="Times New Roman" w:hAnsi="Times New Roman" w:cs="Times New Roman"/>
                <w:sz w:val="26"/>
                <w:szCs w:val="26"/>
              </w:rPr>
            </m:ctrlPr>
          </m:fPr>
          <m:num>
            <m:r>
              <w:rPr>
                <w:rFonts w:ascii="Times New Roman" w:eastAsia="Times New Roman" w:hAnsi="Times New Roman" w:cs="Times New Roman"/>
                <w:sz w:val="26"/>
                <w:szCs w:val="26"/>
              </w:rPr>
              <m:t>Portfolio</m:t>
            </m:r>
            <m:r>
              <w:rPr>
                <w:rFonts w:ascii="Times New Roman" w:eastAsia="Times New Roman" w:hAnsi="Times New Roman" w:cs="Times New Roman"/>
                <w:sz w:val="26"/>
                <w:szCs w:val="26"/>
              </w:rPr>
              <m:t xml:space="preserve"> </m:t>
            </m:r>
            <m:r>
              <w:rPr>
                <w:rFonts w:ascii="Times New Roman" w:eastAsia="Times New Roman" w:hAnsi="Times New Roman" w:cs="Times New Roman"/>
                <w:sz w:val="26"/>
                <w:szCs w:val="26"/>
              </w:rPr>
              <m:t>Return</m:t>
            </m:r>
            <m:r>
              <w:rPr>
                <w:rFonts w:ascii="Times New Roman" w:eastAsia="Times New Roman" w:hAnsi="Times New Roman" w:cs="Times New Roman"/>
                <w:sz w:val="26"/>
                <w:szCs w:val="26"/>
              </w:rPr>
              <m:t>-</m:t>
            </m:r>
            <m:r>
              <w:rPr>
                <w:rFonts w:ascii="Times New Roman" w:eastAsia="Times New Roman" w:hAnsi="Times New Roman" w:cs="Times New Roman"/>
                <w:sz w:val="26"/>
                <w:szCs w:val="26"/>
              </w:rPr>
              <m:t>Risk</m:t>
            </m:r>
            <m:r>
              <w:rPr>
                <w:rFonts w:ascii="Times New Roman" w:eastAsia="Times New Roman" w:hAnsi="Times New Roman" w:cs="Times New Roman"/>
                <w:sz w:val="26"/>
                <w:szCs w:val="26"/>
              </w:rPr>
              <m:t xml:space="preserve"> </m:t>
            </m:r>
            <m:r>
              <w:rPr>
                <w:rFonts w:ascii="Times New Roman" w:eastAsia="Times New Roman" w:hAnsi="Times New Roman" w:cs="Times New Roman"/>
                <w:sz w:val="26"/>
                <w:szCs w:val="26"/>
              </w:rPr>
              <m:t>free</m:t>
            </m:r>
            <m:r>
              <w:rPr>
                <w:rFonts w:ascii="Times New Roman" w:eastAsia="Times New Roman" w:hAnsi="Times New Roman" w:cs="Times New Roman"/>
                <w:sz w:val="26"/>
                <w:szCs w:val="26"/>
              </w:rPr>
              <m:t xml:space="preserve"> </m:t>
            </m:r>
            <m:r>
              <w:rPr>
                <w:rFonts w:ascii="Times New Roman" w:eastAsia="Times New Roman" w:hAnsi="Times New Roman" w:cs="Times New Roman"/>
                <w:sz w:val="26"/>
                <w:szCs w:val="26"/>
              </w:rPr>
              <m:t>rate</m:t>
            </m:r>
          </m:num>
          <m:den>
            <m:r>
              <w:rPr>
                <w:rFonts w:ascii="Times New Roman" w:eastAsia="Times New Roman" w:hAnsi="Times New Roman" w:cs="Times New Roman"/>
                <w:sz w:val="26"/>
                <w:szCs w:val="26"/>
              </w:rPr>
              <m:t>SD</m:t>
            </m:r>
            <m:r>
              <w:rPr>
                <w:rFonts w:ascii="Times New Roman" w:eastAsia="Times New Roman" w:hAnsi="Times New Roman" w:cs="Times New Roman"/>
                <w:sz w:val="26"/>
                <w:szCs w:val="26"/>
              </w:rPr>
              <m:t xml:space="preserve"> </m:t>
            </m:r>
            <m:r>
              <w:rPr>
                <w:rFonts w:ascii="Times New Roman" w:eastAsia="Times New Roman" w:hAnsi="Times New Roman" w:cs="Times New Roman"/>
                <w:sz w:val="26"/>
                <w:szCs w:val="26"/>
              </w:rPr>
              <m:t>of</m:t>
            </m:r>
            <m:r>
              <w:rPr>
                <w:rFonts w:ascii="Times New Roman" w:eastAsia="Times New Roman" w:hAnsi="Times New Roman" w:cs="Times New Roman"/>
                <w:sz w:val="26"/>
                <w:szCs w:val="26"/>
              </w:rPr>
              <m:t xml:space="preserve"> </m:t>
            </m:r>
            <m:r>
              <w:rPr>
                <w:rFonts w:ascii="Times New Roman" w:eastAsia="Times New Roman" w:hAnsi="Times New Roman" w:cs="Times New Roman"/>
                <w:sz w:val="26"/>
                <w:szCs w:val="26"/>
              </w:rPr>
              <m:t>p</m:t>
            </m:r>
            <m:r>
              <w:rPr>
                <w:rFonts w:ascii="Times New Roman" w:eastAsia="Times New Roman" w:hAnsi="Times New Roman" w:cs="Times New Roman"/>
                <w:sz w:val="26"/>
                <w:szCs w:val="26"/>
              </w:rPr>
              <m:t>o</m:t>
            </m:r>
            <m:r>
              <w:rPr>
                <w:rFonts w:ascii="Times New Roman" w:eastAsia="Times New Roman" w:hAnsi="Times New Roman" w:cs="Times New Roman"/>
                <w:sz w:val="26"/>
                <w:szCs w:val="26"/>
              </w:rPr>
              <m:t>rtfolio</m:t>
            </m:r>
            <m:r>
              <w:rPr>
                <w:rFonts w:ascii="Times New Roman" w:eastAsia="Times New Roman" w:hAnsi="Times New Roman" w:cs="Times New Roman"/>
                <w:sz w:val="26"/>
                <w:szCs w:val="26"/>
              </w:rPr>
              <m:t>'</m:t>
            </m:r>
            <m:r>
              <w:rPr>
                <w:rFonts w:ascii="Times New Roman" w:eastAsia="Times New Roman" w:hAnsi="Times New Roman" w:cs="Times New Roman"/>
                <w:sz w:val="26"/>
                <w:szCs w:val="26"/>
              </w:rPr>
              <m:t>s</m:t>
            </m:r>
            <m:r>
              <w:rPr>
                <w:rFonts w:ascii="Times New Roman" w:eastAsia="Times New Roman" w:hAnsi="Times New Roman" w:cs="Times New Roman"/>
                <w:sz w:val="26"/>
                <w:szCs w:val="26"/>
              </w:rPr>
              <m:t xml:space="preserve"> </m:t>
            </m:r>
            <m:r>
              <w:rPr>
                <w:rFonts w:ascii="Times New Roman" w:eastAsia="Times New Roman" w:hAnsi="Times New Roman" w:cs="Times New Roman"/>
                <w:sz w:val="26"/>
                <w:szCs w:val="26"/>
              </w:rPr>
              <m:t>excess</m:t>
            </m:r>
            <m:r>
              <w:rPr>
                <w:rFonts w:ascii="Times New Roman" w:eastAsia="Times New Roman" w:hAnsi="Times New Roman" w:cs="Times New Roman"/>
                <w:sz w:val="26"/>
                <w:szCs w:val="26"/>
              </w:rPr>
              <m:t xml:space="preserve"> </m:t>
            </m:r>
            <m:r>
              <w:rPr>
                <w:rFonts w:ascii="Times New Roman" w:eastAsia="Times New Roman" w:hAnsi="Times New Roman" w:cs="Times New Roman"/>
                <w:sz w:val="26"/>
                <w:szCs w:val="26"/>
              </w:rPr>
              <m:t>return</m:t>
            </m:r>
          </m:den>
        </m:f>
      </m:oMath>
    </w:p>
    <w:p w:rsidR="00F31221" w:rsidRDefault="00764377">
      <w:pPr>
        <w:spacing w:line="480" w:lineRule="auto"/>
        <w:ind w:firstLine="720"/>
        <w:contextualSpacing w:val="0"/>
        <w:rPr>
          <w:rFonts w:ascii="Times New Roman" w:eastAsia="Times New Roman" w:hAnsi="Times New Roman" w:cs="Times New Roman"/>
          <w:sz w:val="26"/>
          <w:szCs w:val="26"/>
        </w:rPr>
      </w:pPr>
      <w:r>
        <w:rPr>
          <w:rFonts w:ascii="Times New Roman" w:eastAsia="Times New Roman" w:hAnsi="Times New Roman" w:cs="Times New Roman"/>
          <w:sz w:val="26"/>
          <w:szCs w:val="26"/>
        </w:rPr>
        <w:t>In theory, the market portfolio has the highest Sharpe ratio and is situated at the intersection of the CAL (Capital Allocation Line) and the efficient frontier. We will evaluate the optimal portfolios via this method by situating the combination of optima</w:t>
      </w:r>
      <w:r>
        <w:rPr>
          <w:rFonts w:ascii="Times New Roman" w:eastAsia="Times New Roman" w:hAnsi="Times New Roman" w:cs="Times New Roman"/>
          <w:sz w:val="26"/>
          <w:szCs w:val="26"/>
        </w:rPr>
        <w:t xml:space="preserve">l portfolios containing dividend stocks and long-term bonds that we calculate on the frontier. </w:t>
      </w:r>
    </w:p>
    <w:p w:rsidR="00F31221" w:rsidRDefault="00764377">
      <w:pPr>
        <w:spacing w:line="480" w:lineRule="auto"/>
        <w:ind w:firstLine="720"/>
        <w:contextualSpacing w:val="0"/>
        <w:rPr>
          <w:rFonts w:ascii="Times New Roman" w:eastAsia="Times New Roman" w:hAnsi="Times New Roman" w:cs="Times New Roman"/>
          <w:sz w:val="26"/>
          <w:szCs w:val="26"/>
        </w:rPr>
      </w:pPr>
      <w:r>
        <w:rPr>
          <w:rFonts w:ascii="Times New Roman" w:eastAsia="Times New Roman" w:hAnsi="Times New Roman" w:cs="Times New Roman"/>
          <w:sz w:val="26"/>
          <w:szCs w:val="26"/>
        </w:rPr>
        <w:t>The purpose of our research was initially to compare long-term bonds to dividend stocks and determine which would be the better option for creating more compoun</w:t>
      </w:r>
      <w:r>
        <w:rPr>
          <w:rFonts w:ascii="Times New Roman" w:eastAsia="Times New Roman" w:hAnsi="Times New Roman" w:cs="Times New Roman"/>
          <w:sz w:val="26"/>
          <w:szCs w:val="26"/>
        </w:rPr>
        <w:t xml:space="preserve">ded wealth. However, it’s important to note that holding both investments can provide diversification benefits since they have different sources of factor risk incorporated into them and therefore will provide a lower volatility for a portfolio consisting </w:t>
      </w:r>
      <w:r>
        <w:rPr>
          <w:rFonts w:ascii="Times New Roman" w:eastAsia="Times New Roman" w:hAnsi="Times New Roman" w:cs="Times New Roman"/>
          <w:sz w:val="26"/>
          <w:szCs w:val="26"/>
        </w:rPr>
        <w:t xml:space="preserve">of both </w:t>
      </w:r>
      <w:r>
        <w:rPr>
          <w:rFonts w:ascii="Times New Roman" w:eastAsia="Times New Roman" w:hAnsi="Times New Roman" w:cs="Times New Roman"/>
          <w:sz w:val="26"/>
          <w:szCs w:val="26"/>
        </w:rPr>
        <w:lastRenderedPageBreak/>
        <w:t>options. Thus, a new portfolio would be placed onto the efficient frontier and potentially be better than dividend stocks or long term bonds when comparing them individually.</w:t>
      </w:r>
    </w:p>
    <w:p w:rsidR="00F31221" w:rsidRDefault="00764377">
      <w:pPr>
        <w:pStyle w:val="Title"/>
        <w:spacing w:line="480" w:lineRule="auto"/>
        <w:contextualSpacing w:val="0"/>
        <w:jc w:val="center"/>
        <w:rPr>
          <w:rFonts w:ascii="Times New Roman" w:eastAsia="Times New Roman" w:hAnsi="Times New Roman" w:cs="Times New Roman"/>
          <w:b/>
          <w:sz w:val="26"/>
          <w:szCs w:val="26"/>
        </w:rPr>
      </w:pPr>
      <w:bookmarkStart w:id="1" w:name="_ocirqbto78tr" w:colFirst="0" w:colLast="0"/>
      <w:bookmarkEnd w:id="1"/>
      <w:r>
        <w:rPr>
          <w:rFonts w:ascii="Times New Roman" w:eastAsia="Times New Roman" w:hAnsi="Times New Roman" w:cs="Times New Roman"/>
          <w:b/>
          <w:sz w:val="26"/>
          <w:szCs w:val="26"/>
        </w:rPr>
        <w:t>Data</w:t>
      </w:r>
    </w:p>
    <w:p w:rsidR="00F31221" w:rsidRDefault="00764377">
      <w:pPr>
        <w:spacing w:line="480" w:lineRule="auto"/>
        <w:ind w:firstLine="720"/>
        <w:contextualSpacing w:val="0"/>
        <w:rPr>
          <w:rFonts w:ascii="Times New Roman" w:eastAsia="Times New Roman" w:hAnsi="Times New Roman" w:cs="Times New Roman"/>
          <w:b/>
          <w:sz w:val="26"/>
          <w:szCs w:val="26"/>
        </w:rPr>
      </w:pPr>
      <w:r>
        <w:rPr>
          <w:rFonts w:ascii="Times New Roman" w:eastAsia="Times New Roman" w:hAnsi="Times New Roman" w:cs="Times New Roman"/>
          <w:sz w:val="26"/>
          <w:szCs w:val="26"/>
        </w:rPr>
        <w:t>For our data sources, we procured the monthly data for the 1-month T</w:t>
      </w:r>
      <w:r>
        <w:rPr>
          <w:rFonts w:ascii="Times New Roman" w:eastAsia="Times New Roman" w:hAnsi="Times New Roman" w:cs="Times New Roman"/>
          <w:sz w:val="26"/>
          <w:szCs w:val="26"/>
        </w:rPr>
        <w:t>reasury bill which will be used as our reference for the risk-free rate of return. For our portfolio of dividend stocks, we will only be looking at weighted-average dividend stocks situated in the middle 40% in terms of their D/P ratio. This data comes fro</w:t>
      </w:r>
      <w:r>
        <w:rPr>
          <w:rFonts w:ascii="Times New Roman" w:eastAsia="Times New Roman" w:hAnsi="Times New Roman" w:cs="Times New Roman"/>
          <w:sz w:val="26"/>
          <w:szCs w:val="26"/>
        </w:rPr>
        <w:t>m the Kenneth French data library which constructs these portfolios on D/P at the end of each June using NYSE breakpoints and is regularly updated from stocks in the NYSE, AMEX and NASDAQ for which there is data regarding ME. In order to track long term bo</w:t>
      </w:r>
      <w:r>
        <w:rPr>
          <w:rFonts w:ascii="Times New Roman" w:eastAsia="Times New Roman" w:hAnsi="Times New Roman" w:cs="Times New Roman"/>
          <w:sz w:val="26"/>
          <w:szCs w:val="26"/>
        </w:rPr>
        <w:t>nds, we will be using the iShares 20+ Year Treasury Bond ETF (TLT) as a proxy since it consists of tracking investment results of an index containing  U.S. Treasury bonds with remaining maturities that are greater than twenty years.  Regarding our sample p</w:t>
      </w:r>
      <w:r>
        <w:rPr>
          <w:rFonts w:ascii="Times New Roman" w:eastAsia="Times New Roman" w:hAnsi="Times New Roman" w:cs="Times New Roman"/>
          <w:sz w:val="26"/>
          <w:szCs w:val="26"/>
        </w:rPr>
        <w:t xml:space="preserve">eriod, we will be evaluating </w:t>
      </w:r>
    </w:p>
    <w:p w:rsidR="00F31221" w:rsidRDefault="00F31221">
      <w:pPr>
        <w:contextualSpacing w:val="0"/>
        <w:rPr>
          <w:rFonts w:ascii="Times New Roman" w:eastAsia="Times New Roman" w:hAnsi="Times New Roman" w:cs="Times New Roman"/>
          <w:sz w:val="26"/>
          <w:szCs w:val="26"/>
        </w:rPr>
      </w:pPr>
    </w:p>
    <w:p w:rsidR="00F31221" w:rsidRDefault="00764377">
      <w:pPr>
        <w:spacing w:line="480" w:lineRule="auto"/>
        <w:ind w:firstLine="720"/>
        <w:contextualSpacing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Having procured the data and set our approach towards it, we will now move onto calculating our results and analyzing them. </w:t>
      </w:r>
    </w:p>
    <w:p w:rsidR="00F31221" w:rsidRDefault="00764377">
      <w:pPr>
        <w:spacing w:line="480" w:lineRule="auto"/>
        <w:contextualSpacing w:val="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Historical Mean, Volatility, and Sharpe Ratios</w:t>
      </w:r>
    </w:p>
    <w:p w:rsidR="00F31221" w:rsidRDefault="00764377">
      <w:pPr>
        <w:spacing w:line="480" w:lineRule="auto"/>
        <w:ind w:firstLine="720"/>
        <w:contextualSpacing w:val="0"/>
        <w:rPr>
          <w:rFonts w:ascii="Times New Roman" w:eastAsia="Times New Roman" w:hAnsi="Times New Roman" w:cs="Times New Roman"/>
          <w:sz w:val="26"/>
          <w:szCs w:val="26"/>
        </w:rPr>
      </w:pPr>
      <w:r>
        <w:rPr>
          <w:rFonts w:ascii="Times New Roman" w:eastAsia="Times New Roman" w:hAnsi="Times New Roman" w:cs="Times New Roman"/>
          <w:sz w:val="26"/>
          <w:szCs w:val="26"/>
        </w:rPr>
        <w:t>We find that over the period between July 2002 to October 2018, Long-term ETF Bonds have an average monthly return of 0.56%, whereas Dividend Stocks had an average monthly return of 1.02%; moreover, their respective volatility is 3.74% and 4.5% over the pe</w:t>
      </w:r>
      <w:r>
        <w:rPr>
          <w:rFonts w:ascii="Times New Roman" w:eastAsia="Times New Roman" w:hAnsi="Times New Roman" w:cs="Times New Roman"/>
          <w:sz w:val="26"/>
          <w:szCs w:val="26"/>
        </w:rPr>
        <w:t xml:space="preserve">riod. Our analysis also finds that the covariance between the two is -0.000576 </w:t>
      </w:r>
      <w:r>
        <w:rPr>
          <w:rFonts w:ascii="Times New Roman" w:eastAsia="Times New Roman" w:hAnsi="Times New Roman" w:cs="Times New Roman"/>
          <w:sz w:val="26"/>
          <w:szCs w:val="26"/>
        </w:rPr>
        <w:lastRenderedPageBreak/>
        <w:t>(very weak) and that the two are negatively correlated - as one would expect with these two asset classes. A summary of these results can be found below:</w:t>
      </w:r>
      <w:r>
        <w:rPr>
          <w:noProof/>
        </w:rPr>
        <w:drawing>
          <wp:anchor distT="114300" distB="114300" distL="114300" distR="114300" simplePos="0" relativeHeight="251659264" behindDoc="0" locked="0" layoutInCell="1" hidden="0" allowOverlap="1">
            <wp:simplePos x="0" y="0"/>
            <wp:positionH relativeFrom="column">
              <wp:posOffset>19051</wp:posOffset>
            </wp:positionH>
            <wp:positionV relativeFrom="paragraph">
              <wp:posOffset>2552700</wp:posOffset>
            </wp:positionV>
            <wp:extent cx="5943600" cy="2082800"/>
            <wp:effectExtent l="25400" t="25400" r="25400" b="25400"/>
            <wp:wrapSquare wrapText="bothSides" distT="114300" distB="114300" distL="114300" distR="11430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5943600" cy="2082800"/>
                    </a:xfrm>
                    <a:prstGeom prst="rect">
                      <a:avLst/>
                    </a:prstGeom>
                    <a:ln w="25400">
                      <a:solidFill>
                        <a:srgbClr val="000000"/>
                      </a:solidFill>
                      <a:prstDash val="solid"/>
                    </a:ln>
                  </pic:spPr>
                </pic:pic>
              </a:graphicData>
            </a:graphic>
          </wp:anchor>
        </w:drawing>
      </w:r>
    </w:p>
    <w:p w:rsidR="00F31221" w:rsidRDefault="00764377">
      <w:pPr>
        <w:spacing w:line="480" w:lineRule="auto"/>
        <w:ind w:firstLine="720"/>
        <w:contextualSpacing w:val="0"/>
        <w:rPr>
          <w:rFonts w:ascii="Times New Roman" w:eastAsia="Times New Roman" w:hAnsi="Times New Roman" w:cs="Times New Roman"/>
          <w:sz w:val="26"/>
          <w:szCs w:val="26"/>
        </w:rPr>
      </w:pPr>
      <w:r>
        <w:rPr>
          <w:rFonts w:ascii="Times New Roman" w:eastAsia="Times New Roman" w:hAnsi="Times New Roman" w:cs="Times New Roman"/>
          <w:sz w:val="26"/>
          <w:szCs w:val="26"/>
        </w:rPr>
        <w:t>Over this period, we n</w:t>
      </w:r>
      <w:r>
        <w:rPr>
          <w:rFonts w:ascii="Times New Roman" w:eastAsia="Times New Roman" w:hAnsi="Times New Roman" w:cs="Times New Roman"/>
          <w:sz w:val="26"/>
          <w:szCs w:val="26"/>
        </w:rPr>
        <w:t xml:space="preserve">oticed the outperformance of dividend stocks to long term bonds: </w:t>
      </w:r>
    </w:p>
    <w:p w:rsidR="00F31221" w:rsidRDefault="00764377">
      <w:pPr>
        <w:spacing w:line="480" w:lineRule="auto"/>
        <w:ind w:firstLine="720"/>
        <w:contextualSpacing w:val="0"/>
        <w:rPr>
          <w:rFonts w:ascii="Times New Roman" w:eastAsia="Times New Roman" w:hAnsi="Times New Roman" w:cs="Times New Roman"/>
          <w:sz w:val="26"/>
          <w:szCs w:val="26"/>
        </w:rPr>
      </w:pPr>
      <w:r>
        <w:rPr>
          <w:noProof/>
        </w:rPr>
        <w:drawing>
          <wp:anchor distT="114300" distB="114300" distL="114300" distR="114300" simplePos="0" relativeHeight="251660288" behindDoc="0" locked="0" layoutInCell="1" hidden="0" allowOverlap="1">
            <wp:simplePos x="0" y="0"/>
            <wp:positionH relativeFrom="column">
              <wp:posOffset>571500</wp:posOffset>
            </wp:positionH>
            <wp:positionV relativeFrom="paragraph">
              <wp:posOffset>114300</wp:posOffset>
            </wp:positionV>
            <wp:extent cx="4591050" cy="1209675"/>
            <wp:effectExtent l="0" t="0" r="0" b="0"/>
            <wp:wrapSquare wrapText="bothSides" distT="114300" distB="114300" distL="114300" distR="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591050" cy="1209675"/>
                    </a:xfrm>
                    <a:prstGeom prst="rect">
                      <a:avLst/>
                    </a:prstGeom>
                    <a:ln/>
                  </pic:spPr>
                </pic:pic>
              </a:graphicData>
            </a:graphic>
          </wp:anchor>
        </w:drawing>
      </w:r>
    </w:p>
    <w:p w:rsidR="00F31221" w:rsidRDefault="00F31221">
      <w:pPr>
        <w:spacing w:line="480" w:lineRule="auto"/>
        <w:ind w:firstLine="720"/>
        <w:contextualSpacing w:val="0"/>
        <w:rPr>
          <w:rFonts w:ascii="Times New Roman" w:eastAsia="Times New Roman" w:hAnsi="Times New Roman" w:cs="Times New Roman"/>
          <w:sz w:val="26"/>
          <w:szCs w:val="26"/>
        </w:rPr>
      </w:pPr>
    </w:p>
    <w:p w:rsidR="00F31221" w:rsidRDefault="00F31221">
      <w:pPr>
        <w:spacing w:line="480" w:lineRule="auto"/>
        <w:ind w:firstLine="720"/>
        <w:contextualSpacing w:val="0"/>
        <w:rPr>
          <w:rFonts w:ascii="Times New Roman" w:eastAsia="Times New Roman" w:hAnsi="Times New Roman" w:cs="Times New Roman"/>
          <w:sz w:val="26"/>
          <w:szCs w:val="26"/>
        </w:rPr>
      </w:pPr>
    </w:p>
    <w:p w:rsidR="00F31221" w:rsidRDefault="00F31221">
      <w:pPr>
        <w:spacing w:line="480" w:lineRule="auto"/>
        <w:ind w:firstLine="720"/>
        <w:contextualSpacing w:val="0"/>
        <w:rPr>
          <w:rFonts w:ascii="Times New Roman" w:eastAsia="Times New Roman" w:hAnsi="Times New Roman" w:cs="Times New Roman"/>
          <w:sz w:val="26"/>
          <w:szCs w:val="26"/>
        </w:rPr>
      </w:pPr>
    </w:p>
    <w:p w:rsidR="00F31221" w:rsidRDefault="00764377">
      <w:pPr>
        <w:spacing w:line="480" w:lineRule="auto"/>
        <w:contextualSpacing w:val="0"/>
        <w:rPr>
          <w:rFonts w:ascii="Times New Roman" w:eastAsia="Times New Roman" w:hAnsi="Times New Roman" w:cs="Times New Roman"/>
          <w:sz w:val="26"/>
          <w:szCs w:val="26"/>
        </w:rPr>
      </w:pPr>
      <w:r>
        <w:rPr>
          <w:rFonts w:ascii="Times New Roman" w:eastAsia="Times New Roman" w:hAnsi="Times New Roman" w:cs="Times New Roman"/>
          <w:sz w:val="26"/>
          <w:szCs w:val="26"/>
        </w:rPr>
        <w:t>From the table  above, we are able to observe that the excess return on Bonds portfolio is considerably lower than the excess return on the stocks portfolio. Furthermore, the sharpe rat</w:t>
      </w:r>
      <w:r>
        <w:rPr>
          <w:rFonts w:ascii="Times New Roman" w:eastAsia="Times New Roman" w:hAnsi="Times New Roman" w:cs="Times New Roman"/>
          <w:sz w:val="26"/>
          <w:szCs w:val="26"/>
        </w:rPr>
        <w:t xml:space="preserve">io also show that the stocks portfolio has a better sharpe ratio than the bonds portfolio, which conveys that return per unit of risk in the stocks portfolio is more favorable than the return when it comes to the bonds portfolio. </w:t>
      </w:r>
      <w:r>
        <w:rPr>
          <w:rFonts w:ascii="Times New Roman" w:eastAsia="Times New Roman" w:hAnsi="Times New Roman" w:cs="Times New Roman"/>
          <w:sz w:val="26"/>
          <w:szCs w:val="26"/>
        </w:rPr>
        <w:tab/>
      </w:r>
    </w:p>
    <w:p w:rsidR="00F31221" w:rsidRDefault="00F31221">
      <w:pPr>
        <w:spacing w:line="480" w:lineRule="auto"/>
        <w:ind w:firstLine="720"/>
        <w:contextualSpacing w:val="0"/>
        <w:rPr>
          <w:rFonts w:ascii="Times New Roman" w:eastAsia="Times New Roman" w:hAnsi="Times New Roman" w:cs="Times New Roman"/>
          <w:sz w:val="26"/>
          <w:szCs w:val="26"/>
        </w:rPr>
      </w:pPr>
    </w:p>
    <w:p w:rsidR="00F31221" w:rsidRDefault="00764377">
      <w:pPr>
        <w:spacing w:line="480" w:lineRule="auto"/>
        <w:contextualSpacing w:val="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Optimal Portfolio</w:t>
      </w:r>
    </w:p>
    <w:p w:rsidR="00F31221" w:rsidRDefault="00764377">
      <w:pPr>
        <w:spacing w:line="480" w:lineRule="auto"/>
        <w:contextualSpacing w:val="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Now t</w:t>
      </w:r>
      <w:r>
        <w:rPr>
          <w:rFonts w:ascii="Times New Roman" w:eastAsia="Times New Roman" w:hAnsi="Times New Roman" w:cs="Times New Roman"/>
          <w:sz w:val="26"/>
          <w:szCs w:val="26"/>
        </w:rPr>
        <w:t>hat we have determined that investing in dividend stocks is preferable (on average) to investing in Long Term Bonds, we would now like to find an optimal portfolio of the two assets. We did this in two ways, both yielding the same results.  We find the cov</w:t>
      </w:r>
      <w:r>
        <w:rPr>
          <w:rFonts w:ascii="Times New Roman" w:eastAsia="Times New Roman" w:hAnsi="Times New Roman" w:cs="Times New Roman"/>
          <w:sz w:val="26"/>
          <w:szCs w:val="26"/>
        </w:rPr>
        <w:t>ariance matrix, and use the excel solver tool to find our optimal portfolio:</w:t>
      </w:r>
    </w:p>
    <w:p w:rsidR="00F31221" w:rsidRDefault="00764377">
      <w:pPr>
        <w:spacing w:line="480" w:lineRule="auto"/>
        <w:contextualSpacing w:val="0"/>
        <w:rPr>
          <w:rFonts w:ascii="Times New Roman" w:eastAsia="Times New Roman" w:hAnsi="Times New Roman" w:cs="Times New Roman"/>
          <w:sz w:val="26"/>
          <w:szCs w:val="26"/>
        </w:rPr>
      </w:pPr>
      <w:r>
        <w:rPr>
          <w:noProof/>
        </w:rPr>
        <w:drawing>
          <wp:anchor distT="114300" distB="114300" distL="114300" distR="114300" simplePos="0" relativeHeight="251661312" behindDoc="0" locked="0" layoutInCell="1" hidden="0" allowOverlap="1">
            <wp:simplePos x="0" y="0"/>
            <wp:positionH relativeFrom="column">
              <wp:posOffset>762000</wp:posOffset>
            </wp:positionH>
            <wp:positionV relativeFrom="paragraph">
              <wp:posOffset>314325</wp:posOffset>
            </wp:positionV>
            <wp:extent cx="4029075" cy="1209675"/>
            <wp:effectExtent l="25400" t="25400" r="25400" b="25400"/>
            <wp:wrapSquare wrapText="bothSides" distT="114300" distB="114300" distL="114300" distR="11430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029075" cy="1209675"/>
                    </a:xfrm>
                    <a:prstGeom prst="rect">
                      <a:avLst/>
                    </a:prstGeom>
                    <a:ln w="25400">
                      <a:solidFill>
                        <a:srgbClr val="000000"/>
                      </a:solidFill>
                      <a:prstDash val="solid"/>
                    </a:ln>
                  </pic:spPr>
                </pic:pic>
              </a:graphicData>
            </a:graphic>
          </wp:anchor>
        </w:drawing>
      </w:r>
    </w:p>
    <w:p w:rsidR="00F31221" w:rsidRDefault="00F31221">
      <w:pPr>
        <w:spacing w:line="480" w:lineRule="auto"/>
        <w:contextualSpacing w:val="0"/>
        <w:rPr>
          <w:rFonts w:ascii="Times New Roman" w:eastAsia="Times New Roman" w:hAnsi="Times New Roman" w:cs="Times New Roman"/>
          <w:sz w:val="26"/>
          <w:szCs w:val="26"/>
        </w:rPr>
      </w:pPr>
    </w:p>
    <w:p w:rsidR="00F31221" w:rsidRDefault="00F31221">
      <w:pPr>
        <w:spacing w:line="480" w:lineRule="auto"/>
        <w:contextualSpacing w:val="0"/>
        <w:rPr>
          <w:rFonts w:ascii="Times New Roman" w:eastAsia="Times New Roman" w:hAnsi="Times New Roman" w:cs="Times New Roman"/>
          <w:sz w:val="26"/>
          <w:szCs w:val="26"/>
        </w:rPr>
      </w:pPr>
    </w:p>
    <w:p w:rsidR="00F31221" w:rsidRDefault="00764377">
      <w:pPr>
        <w:spacing w:line="480" w:lineRule="auto"/>
        <w:contextualSpacing w:val="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extent cx="2828925" cy="933450"/>
            <wp:effectExtent l="25400" t="25400" r="25400" b="254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r="1980"/>
                    <a:stretch>
                      <a:fillRect/>
                    </a:stretch>
                  </pic:blipFill>
                  <pic:spPr>
                    <a:xfrm>
                      <a:off x="0" y="0"/>
                      <a:ext cx="2828925" cy="933450"/>
                    </a:xfrm>
                    <a:prstGeom prst="rect">
                      <a:avLst/>
                    </a:prstGeom>
                    <a:ln w="25400">
                      <a:solidFill>
                        <a:srgbClr val="000000"/>
                      </a:solidFill>
                      <a:prstDash val="solid"/>
                    </a:ln>
                  </pic:spPr>
                </pic:pic>
              </a:graphicData>
            </a:graphic>
          </wp:inline>
        </w:drawing>
      </w:r>
      <w:r>
        <w:rPr>
          <w:rFonts w:ascii="Times New Roman" w:eastAsia="Times New Roman" w:hAnsi="Times New Roman" w:cs="Times New Roman"/>
          <w:sz w:val="26"/>
          <w:szCs w:val="26"/>
        </w:rPr>
        <w:t xml:space="preserve">              </w:t>
      </w:r>
      <w:r>
        <w:rPr>
          <w:rFonts w:ascii="Times New Roman" w:eastAsia="Times New Roman" w:hAnsi="Times New Roman" w:cs="Times New Roman"/>
          <w:noProof/>
          <w:sz w:val="26"/>
          <w:szCs w:val="26"/>
        </w:rPr>
        <w:drawing>
          <wp:inline distT="114300" distB="114300" distL="114300" distR="114300">
            <wp:extent cx="2037030" cy="952500"/>
            <wp:effectExtent l="25400" t="25400" r="25400" b="2540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2037030" cy="952500"/>
                    </a:xfrm>
                    <a:prstGeom prst="rect">
                      <a:avLst/>
                    </a:prstGeom>
                    <a:ln w="25400">
                      <a:solidFill>
                        <a:srgbClr val="000000"/>
                      </a:solidFill>
                      <a:prstDash val="solid"/>
                    </a:ln>
                  </pic:spPr>
                </pic:pic>
              </a:graphicData>
            </a:graphic>
          </wp:inline>
        </w:drawing>
      </w:r>
    </w:p>
    <w:p w:rsidR="00F31221" w:rsidRDefault="00764377">
      <w:pPr>
        <w:spacing w:line="480" w:lineRule="auto"/>
        <w:contextualSpacing w:val="0"/>
        <w:rPr>
          <w:rFonts w:ascii="Times New Roman" w:eastAsia="Times New Roman" w:hAnsi="Times New Roman" w:cs="Times New Roman"/>
          <w:sz w:val="26"/>
          <w:szCs w:val="26"/>
        </w:rPr>
      </w:pPr>
      <w:r>
        <w:rPr>
          <w:rFonts w:ascii="Times New Roman" w:eastAsia="Times New Roman" w:hAnsi="Times New Roman" w:cs="Times New Roman"/>
          <w:sz w:val="26"/>
          <w:szCs w:val="26"/>
        </w:rPr>
        <w:t>Or, using the Mean, Variance, Standard Deviation, Covariance, and Correlation calculated above, we can create the Efficient Frontier and calculate the best “r</w:t>
      </w:r>
      <w:r>
        <w:rPr>
          <w:rFonts w:ascii="Times New Roman" w:eastAsia="Times New Roman" w:hAnsi="Times New Roman" w:cs="Times New Roman"/>
          <w:sz w:val="26"/>
          <w:szCs w:val="26"/>
        </w:rPr>
        <w:t>eward-to-risk” ratio, which is more commonly known as the Sharpe Ratio.</w:t>
      </w:r>
    </w:p>
    <w:p w:rsidR="00F31221" w:rsidRDefault="00764377">
      <w:pPr>
        <w:spacing w:line="480" w:lineRule="auto"/>
        <w:contextualSpacing w:val="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114300" distB="114300" distL="114300" distR="114300">
            <wp:extent cx="5943600" cy="2857500"/>
            <wp:effectExtent l="25400" t="25400" r="25400" b="2540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943600" cy="2857500"/>
                    </a:xfrm>
                    <a:prstGeom prst="rect">
                      <a:avLst/>
                    </a:prstGeom>
                    <a:ln w="25400">
                      <a:solidFill>
                        <a:srgbClr val="000000"/>
                      </a:solidFill>
                      <a:prstDash val="solid"/>
                    </a:ln>
                  </pic:spPr>
                </pic:pic>
              </a:graphicData>
            </a:graphic>
          </wp:inline>
        </w:drawing>
      </w:r>
    </w:p>
    <w:p w:rsidR="00F31221" w:rsidRDefault="00764377">
      <w:pPr>
        <w:spacing w:line="480" w:lineRule="auto"/>
        <w:ind w:firstLine="720"/>
        <w:contextualSpacing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From the tables above, we can see that the highest reward-to-risk is from investing 47.47% of our portfolio into Bond ETFs and 52.53% in Dividend Stocks. Holding a portfolio with th</w:t>
      </w:r>
      <w:r>
        <w:rPr>
          <w:rFonts w:ascii="Times New Roman" w:eastAsia="Times New Roman" w:hAnsi="Times New Roman" w:cs="Times New Roman"/>
          <w:sz w:val="26"/>
          <w:szCs w:val="26"/>
        </w:rPr>
        <w:t xml:space="preserve">ese weights statistically gives us the best Sharpe Ratio of 0.261407, and consequently the best risk-adjusted return on investment. The optimal portfolio weights were calculated using the following formula, with the monthly risk-free rate being equivalent </w:t>
      </w:r>
      <w:r>
        <w:rPr>
          <w:rFonts w:ascii="Times New Roman" w:eastAsia="Times New Roman" w:hAnsi="Times New Roman" w:cs="Times New Roman"/>
          <w:sz w:val="26"/>
          <w:szCs w:val="26"/>
        </w:rPr>
        <w:t xml:space="preserve">to the T-bill rate, “A” representing Bonds, and “B” representing Stocks respectively: </w:t>
      </w:r>
    </w:p>
    <w:p w:rsidR="00F31221" w:rsidRDefault="00764377">
      <w:pPr>
        <w:spacing w:line="480" w:lineRule="auto"/>
        <w:ind w:firstLine="720"/>
        <w:contextualSpacing w:val="0"/>
        <w:rPr>
          <w:rFonts w:ascii="Times New Roman" w:eastAsia="Times New Roman" w:hAnsi="Times New Roman" w:cs="Times New Roman"/>
          <w:sz w:val="26"/>
          <w:szCs w:val="26"/>
        </w:rPr>
      </w:pPr>
      <w:r>
        <w:rPr>
          <w:rFonts w:ascii="Times New Roman" w:eastAsia="Times New Roman" w:hAnsi="Times New Roman" w:cs="Times New Roman"/>
          <w:sz w:val="26"/>
          <w:szCs w:val="26"/>
        </w:rPr>
        <w:t>From this analysis, we see a considerably larger sharpe ratio in the diversified portfolio than from using either stocks or bonds individually for investing. This improv</w:t>
      </w:r>
      <w:r>
        <w:rPr>
          <w:rFonts w:ascii="Times New Roman" w:eastAsia="Times New Roman" w:hAnsi="Times New Roman" w:cs="Times New Roman"/>
          <w:sz w:val="26"/>
          <w:szCs w:val="26"/>
        </w:rPr>
        <w:t>ed Sharpe ratio can be largely attributed to the benefits of diversification:</w:t>
      </w:r>
      <w:r>
        <w:rPr>
          <w:noProof/>
        </w:rPr>
        <w:drawing>
          <wp:anchor distT="114300" distB="114300" distL="114300" distR="114300" simplePos="0" relativeHeight="251662336" behindDoc="0" locked="0" layoutInCell="1" hidden="0" allowOverlap="1">
            <wp:simplePos x="0" y="0"/>
            <wp:positionH relativeFrom="column">
              <wp:posOffset>-28574</wp:posOffset>
            </wp:positionH>
            <wp:positionV relativeFrom="paragraph">
              <wp:posOffset>257175</wp:posOffset>
            </wp:positionV>
            <wp:extent cx="5943600" cy="596900"/>
            <wp:effectExtent l="25400" t="25400" r="25400" b="25400"/>
            <wp:wrapSquare wrapText="bothSides" distT="114300" distB="11430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943600" cy="596900"/>
                    </a:xfrm>
                    <a:prstGeom prst="rect">
                      <a:avLst/>
                    </a:prstGeom>
                    <a:ln w="25400">
                      <a:solidFill>
                        <a:srgbClr val="000000"/>
                      </a:solidFill>
                      <a:prstDash val="solid"/>
                    </a:ln>
                  </pic:spPr>
                </pic:pic>
              </a:graphicData>
            </a:graphic>
          </wp:anchor>
        </w:drawing>
      </w:r>
    </w:p>
    <w:p w:rsidR="00F31221" w:rsidRDefault="00764377">
      <w:pPr>
        <w:spacing w:line="480" w:lineRule="auto"/>
        <w:ind w:firstLine="720"/>
        <w:contextualSpacing w:val="0"/>
        <w:rPr>
          <w:rFonts w:ascii="Times New Roman" w:eastAsia="Times New Roman" w:hAnsi="Times New Roman" w:cs="Times New Roman"/>
          <w:sz w:val="26"/>
          <w:szCs w:val="26"/>
        </w:rPr>
      </w:pPr>
      <w:r>
        <w:rPr>
          <w:noProof/>
        </w:rPr>
        <w:lastRenderedPageBreak/>
        <w:drawing>
          <wp:anchor distT="114300" distB="114300" distL="114300" distR="114300" simplePos="0" relativeHeight="251663360" behindDoc="0" locked="0" layoutInCell="1" hidden="0" allowOverlap="1">
            <wp:simplePos x="0" y="0"/>
            <wp:positionH relativeFrom="column">
              <wp:posOffset>571500</wp:posOffset>
            </wp:positionH>
            <wp:positionV relativeFrom="paragraph">
              <wp:posOffset>114300</wp:posOffset>
            </wp:positionV>
            <wp:extent cx="4581525" cy="2752725"/>
            <wp:effectExtent l="25400" t="25400" r="25400" b="25400"/>
            <wp:wrapSquare wrapText="bothSides" distT="114300" distB="114300" distL="114300" distR="11430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4581525" cy="2752725"/>
                    </a:xfrm>
                    <a:prstGeom prst="rect">
                      <a:avLst/>
                    </a:prstGeom>
                    <a:ln w="25400">
                      <a:solidFill>
                        <a:srgbClr val="000000"/>
                      </a:solidFill>
                      <a:prstDash val="solid"/>
                    </a:ln>
                  </pic:spPr>
                </pic:pic>
              </a:graphicData>
            </a:graphic>
          </wp:anchor>
        </w:drawing>
      </w:r>
    </w:p>
    <w:p w:rsidR="00F31221" w:rsidRDefault="00F31221">
      <w:pPr>
        <w:spacing w:line="480" w:lineRule="auto"/>
        <w:ind w:firstLine="720"/>
        <w:contextualSpacing w:val="0"/>
        <w:rPr>
          <w:rFonts w:ascii="Times New Roman" w:eastAsia="Times New Roman" w:hAnsi="Times New Roman" w:cs="Times New Roman"/>
          <w:sz w:val="26"/>
          <w:szCs w:val="26"/>
        </w:rPr>
      </w:pPr>
    </w:p>
    <w:p w:rsidR="00F31221" w:rsidRDefault="00F31221">
      <w:pPr>
        <w:spacing w:line="480" w:lineRule="auto"/>
        <w:ind w:firstLine="720"/>
        <w:contextualSpacing w:val="0"/>
        <w:rPr>
          <w:rFonts w:ascii="Times New Roman" w:eastAsia="Times New Roman" w:hAnsi="Times New Roman" w:cs="Times New Roman"/>
          <w:sz w:val="26"/>
          <w:szCs w:val="26"/>
        </w:rPr>
      </w:pPr>
    </w:p>
    <w:p w:rsidR="00F31221" w:rsidRDefault="00F31221">
      <w:pPr>
        <w:spacing w:line="480" w:lineRule="auto"/>
        <w:ind w:firstLine="720"/>
        <w:contextualSpacing w:val="0"/>
        <w:rPr>
          <w:rFonts w:ascii="Times New Roman" w:eastAsia="Times New Roman" w:hAnsi="Times New Roman" w:cs="Times New Roman"/>
          <w:sz w:val="26"/>
          <w:szCs w:val="26"/>
        </w:rPr>
      </w:pPr>
    </w:p>
    <w:p w:rsidR="00F31221" w:rsidRDefault="00F31221">
      <w:pPr>
        <w:spacing w:line="480" w:lineRule="auto"/>
        <w:ind w:firstLine="720"/>
        <w:contextualSpacing w:val="0"/>
        <w:rPr>
          <w:rFonts w:ascii="Times New Roman" w:eastAsia="Times New Roman" w:hAnsi="Times New Roman" w:cs="Times New Roman"/>
          <w:sz w:val="26"/>
          <w:szCs w:val="26"/>
        </w:rPr>
      </w:pPr>
    </w:p>
    <w:p w:rsidR="00F31221" w:rsidRDefault="00F31221">
      <w:pPr>
        <w:spacing w:line="480" w:lineRule="auto"/>
        <w:ind w:firstLine="720"/>
        <w:contextualSpacing w:val="0"/>
        <w:rPr>
          <w:rFonts w:ascii="Times New Roman" w:eastAsia="Times New Roman" w:hAnsi="Times New Roman" w:cs="Times New Roman"/>
          <w:sz w:val="26"/>
          <w:szCs w:val="26"/>
        </w:rPr>
      </w:pPr>
    </w:p>
    <w:p w:rsidR="00F31221" w:rsidRDefault="00F31221">
      <w:pPr>
        <w:spacing w:line="480" w:lineRule="auto"/>
        <w:ind w:firstLine="720"/>
        <w:contextualSpacing w:val="0"/>
        <w:rPr>
          <w:rFonts w:ascii="Times New Roman" w:eastAsia="Times New Roman" w:hAnsi="Times New Roman" w:cs="Times New Roman"/>
          <w:sz w:val="26"/>
          <w:szCs w:val="26"/>
        </w:rPr>
      </w:pPr>
    </w:p>
    <w:p w:rsidR="00F31221" w:rsidRDefault="00F31221">
      <w:pPr>
        <w:spacing w:line="480" w:lineRule="auto"/>
        <w:ind w:firstLine="720"/>
        <w:contextualSpacing w:val="0"/>
        <w:rPr>
          <w:rFonts w:ascii="Times New Roman" w:eastAsia="Times New Roman" w:hAnsi="Times New Roman" w:cs="Times New Roman"/>
          <w:sz w:val="26"/>
          <w:szCs w:val="26"/>
        </w:rPr>
      </w:pPr>
    </w:p>
    <w:p w:rsidR="00F31221" w:rsidRDefault="00F31221">
      <w:pPr>
        <w:spacing w:line="480" w:lineRule="auto"/>
        <w:ind w:firstLine="720"/>
        <w:contextualSpacing w:val="0"/>
        <w:rPr>
          <w:rFonts w:ascii="Times New Roman" w:eastAsia="Times New Roman" w:hAnsi="Times New Roman" w:cs="Times New Roman"/>
          <w:sz w:val="26"/>
          <w:szCs w:val="26"/>
        </w:rPr>
      </w:pPr>
    </w:p>
    <w:p w:rsidR="00F31221" w:rsidRDefault="00764377">
      <w:pPr>
        <w:spacing w:line="480" w:lineRule="auto"/>
        <w:contextualSpacing w:val="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Efficient Frontier &amp; Capital Market Line</w:t>
      </w:r>
    </w:p>
    <w:p w:rsidR="00F31221" w:rsidRDefault="00764377">
      <w:pPr>
        <w:spacing w:line="480" w:lineRule="auto"/>
        <w:ind w:firstLine="720"/>
        <w:contextualSpacing w:val="0"/>
        <w:rPr>
          <w:rFonts w:ascii="Times New Roman" w:eastAsia="Times New Roman" w:hAnsi="Times New Roman" w:cs="Times New Roman"/>
          <w:sz w:val="26"/>
          <w:szCs w:val="26"/>
        </w:rPr>
      </w:pPr>
      <w:r>
        <w:rPr>
          <w:rFonts w:ascii="Times New Roman" w:eastAsia="Times New Roman" w:hAnsi="Times New Roman" w:cs="Times New Roman"/>
          <w:sz w:val="26"/>
          <w:szCs w:val="26"/>
        </w:rPr>
        <w:t>Having calculated the Optimal Portfolio and it’s respective weights, we now use these weights to form a portfolio and consider the inclusion of a risk-free asset, such as T-bills. As seen from the summary at the start of this section, the average monthly r</w:t>
      </w:r>
      <w:r>
        <w:rPr>
          <w:rFonts w:ascii="Times New Roman" w:eastAsia="Times New Roman" w:hAnsi="Times New Roman" w:cs="Times New Roman"/>
          <w:sz w:val="26"/>
          <w:szCs w:val="26"/>
        </w:rPr>
        <w:t>isk-free rate is roughly 0.17% (or 0.167%). Therefore, The data and results calculated so far allow us to construct a Capital Allocation Line that will have a slope of 0.261407, irrespective of the weightage between the risk-free asset and our newly constr</w:t>
      </w:r>
      <w:r>
        <w:rPr>
          <w:rFonts w:ascii="Times New Roman" w:eastAsia="Times New Roman" w:hAnsi="Times New Roman" w:cs="Times New Roman"/>
          <w:sz w:val="26"/>
          <w:szCs w:val="26"/>
        </w:rPr>
        <w:t>ucted portfolio:</w:t>
      </w:r>
    </w:p>
    <w:p w:rsidR="00F31221" w:rsidRDefault="00764377">
      <w:pPr>
        <w:spacing w:line="480" w:lineRule="auto"/>
        <w:ind w:firstLine="720"/>
        <w:contextualSpacing w:val="0"/>
        <w:rPr>
          <w:rFonts w:ascii="Times New Roman" w:eastAsia="Times New Roman" w:hAnsi="Times New Roman" w:cs="Times New Roman"/>
          <w:sz w:val="26"/>
          <w:szCs w:val="26"/>
        </w:rPr>
      </w:pPr>
      <w:r>
        <w:rPr>
          <w:noProof/>
        </w:rPr>
        <w:lastRenderedPageBreak/>
        <w:drawing>
          <wp:anchor distT="114300" distB="114300" distL="114300" distR="114300" simplePos="0" relativeHeight="251664384" behindDoc="0" locked="0" layoutInCell="1" hidden="0" allowOverlap="1">
            <wp:simplePos x="0" y="0"/>
            <wp:positionH relativeFrom="column">
              <wp:posOffset>-28574</wp:posOffset>
            </wp:positionH>
            <wp:positionV relativeFrom="paragraph">
              <wp:posOffset>438150</wp:posOffset>
            </wp:positionV>
            <wp:extent cx="5943600" cy="2895600"/>
            <wp:effectExtent l="25400" t="25400" r="25400" b="25400"/>
            <wp:wrapSquare wrapText="bothSides" distT="114300" distB="114300" distL="114300" distR="114300"/>
            <wp:docPr id="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5943600" cy="2895600"/>
                    </a:xfrm>
                    <a:prstGeom prst="rect">
                      <a:avLst/>
                    </a:prstGeom>
                    <a:ln w="25400">
                      <a:solidFill>
                        <a:srgbClr val="000000"/>
                      </a:solidFill>
                      <a:prstDash val="solid"/>
                    </a:ln>
                  </pic:spPr>
                </pic:pic>
              </a:graphicData>
            </a:graphic>
          </wp:anchor>
        </w:drawing>
      </w:r>
    </w:p>
    <w:p w:rsidR="00F31221" w:rsidRDefault="00F31221">
      <w:pPr>
        <w:spacing w:line="480" w:lineRule="auto"/>
        <w:contextualSpacing w:val="0"/>
        <w:rPr>
          <w:rFonts w:ascii="Times New Roman" w:eastAsia="Times New Roman" w:hAnsi="Times New Roman" w:cs="Times New Roman"/>
          <w:sz w:val="26"/>
          <w:szCs w:val="26"/>
        </w:rPr>
      </w:pPr>
    </w:p>
    <w:p w:rsidR="00F31221" w:rsidRDefault="00F31221">
      <w:pPr>
        <w:spacing w:line="480" w:lineRule="auto"/>
        <w:contextualSpacing w:val="0"/>
        <w:rPr>
          <w:rFonts w:ascii="Times New Roman" w:eastAsia="Times New Roman" w:hAnsi="Times New Roman" w:cs="Times New Roman"/>
          <w:sz w:val="26"/>
          <w:szCs w:val="26"/>
        </w:rPr>
      </w:pPr>
    </w:p>
    <w:p w:rsidR="00F31221" w:rsidRDefault="00F31221">
      <w:pPr>
        <w:spacing w:line="480" w:lineRule="auto"/>
        <w:contextualSpacing w:val="0"/>
        <w:rPr>
          <w:rFonts w:ascii="Times New Roman" w:eastAsia="Times New Roman" w:hAnsi="Times New Roman" w:cs="Times New Roman"/>
          <w:sz w:val="26"/>
          <w:szCs w:val="26"/>
        </w:rPr>
      </w:pPr>
    </w:p>
    <w:p w:rsidR="00F31221" w:rsidRDefault="00F31221">
      <w:pPr>
        <w:spacing w:line="480" w:lineRule="auto"/>
        <w:contextualSpacing w:val="0"/>
        <w:rPr>
          <w:rFonts w:ascii="Times New Roman" w:eastAsia="Times New Roman" w:hAnsi="Times New Roman" w:cs="Times New Roman"/>
          <w:sz w:val="26"/>
          <w:szCs w:val="26"/>
        </w:rPr>
      </w:pPr>
    </w:p>
    <w:p w:rsidR="00F31221" w:rsidRDefault="00F31221">
      <w:pPr>
        <w:spacing w:line="480" w:lineRule="auto"/>
        <w:contextualSpacing w:val="0"/>
        <w:rPr>
          <w:rFonts w:ascii="Times New Roman" w:eastAsia="Times New Roman" w:hAnsi="Times New Roman" w:cs="Times New Roman"/>
          <w:sz w:val="26"/>
          <w:szCs w:val="26"/>
        </w:rPr>
      </w:pPr>
    </w:p>
    <w:p w:rsidR="00F31221" w:rsidRDefault="00F31221">
      <w:pPr>
        <w:spacing w:line="480" w:lineRule="auto"/>
        <w:contextualSpacing w:val="0"/>
        <w:rPr>
          <w:rFonts w:ascii="Times New Roman" w:eastAsia="Times New Roman" w:hAnsi="Times New Roman" w:cs="Times New Roman"/>
          <w:sz w:val="26"/>
          <w:szCs w:val="26"/>
        </w:rPr>
      </w:pPr>
    </w:p>
    <w:p w:rsidR="00F31221" w:rsidRDefault="00F31221">
      <w:pPr>
        <w:spacing w:line="480" w:lineRule="auto"/>
        <w:contextualSpacing w:val="0"/>
        <w:rPr>
          <w:rFonts w:ascii="Times New Roman" w:eastAsia="Times New Roman" w:hAnsi="Times New Roman" w:cs="Times New Roman"/>
          <w:sz w:val="26"/>
          <w:szCs w:val="26"/>
        </w:rPr>
      </w:pPr>
    </w:p>
    <w:p w:rsidR="00F31221" w:rsidRDefault="00F31221">
      <w:pPr>
        <w:spacing w:line="480" w:lineRule="auto"/>
        <w:contextualSpacing w:val="0"/>
        <w:rPr>
          <w:rFonts w:ascii="Times New Roman" w:eastAsia="Times New Roman" w:hAnsi="Times New Roman" w:cs="Times New Roman"/>
          <w:sz w:val="26"/>
          <w:szCs w:val="26"/>
        </w:rPr>
      </w:pPr>
    </w:p>
    <w:p w:rsidR="00F31221" w:rsidRDefault="00764377">
      <w:pPr>
        <w:spacing w:line="480" w:lineRule="auto"/>
        <w:contextualSpacing w:val="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This data allows us to construct a graphical representation of the Efficient Frontier and the Capital Market Line, both of which can be seen below:</w:t>
      </w:r>
      <w:r>
        <w:rPr>
          <w:noProof/>
        </w:rPr>
        <w:drawing>
          <wp:anchor distT="114300" distB="114300" distL="114300" distR="114300" simplePos="0" relativeHeight="251665408" behindDoc="0" locked="0" layoutInCell="1" hidden="0" allowOverlap="1">
            <wp:simplePos x="0" y="0"/>
            <wp:positionH relativeFrom="column">
              <wp:posOffset>19051</wp:posOffset>
            </wp:positionH>
            <wp:positionV relativeFrom="paragraph">
              <wp:posOffset>819150</wp:posOffset>
            </wp:positionV>
            <wp:extent cx="5943600" cy="3632200"/>
            <wp:effectExtent l="0" t="0" r="0" b="0"/>
            <wp:wrapSquare wrapText="bothSides" distT="114300" distB="114300" distL="114300" distR="11430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5943600" cy="3632200"/>
                    </a:xfrm>
                    <a:prstGeom prst="rect">
                      <a:avLst/>
                    </a:prstGeom>
                    <a:ln/>
                  </pic:spPr>
                </pic:pic>
              </a:graphicData>
            </a:graphic>
          </wp:anchor>
        </w:drawing>
      </w:r>
    </w:p>
    <w:p w:rsidR="00F31221" w:rsidRDefault="00764377">
      <w:pPr>
        <w:spacing w:line="480" w:lineRule="auto"/>
        <w:contextualSpacing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This will allow investors to make their preferred investment decisions accordin</w:t>
      </w:r>
      <w:r>
        <w:rPr>
          <w:rFonts w:ascii="Times New Roman" w:eastAsia="Times New Roman" w:hAnsi="Times New Roman" w:cs="Times New Roman"/>
          <w:sz w:val="26"/>
          <w:szCs w:val="26"/>
        </w:rPr>
        <w:t>g to their degree of risk aversion, which we will discuss in further detail in the subsequent section where we discuss the Optimal Utility with different levels of risk aversion and the Certainty Equivalence Test. The “M” marked on the graph above represen</w:t>
      </w:r>
      <w:r>
        <w:rPr>
          <w:rFonts w:ascii="Times New Roman" w:eastAsia="Times New Roman" w:hAnsi="Times New Roman" w:cs="Times New Roman"/>
          <w:sz w:val="26"/>
          <w:szCs w:val="26"/>
        </w:rPr>
        <w:t>ts the feasible region for our risky assets (Dividend Stocks + Bond ETFs), and this is the point where the rational investor would hold the basket of our risky assets in the same proportion as a theoretically efficient market portfolio. Under CAPM, all inv</w:t>
      </w:r>
      <w:r>
        <w:rPr>
          <w:rFonts w:ascii="Times New Roman" w:eastAsia="Times New Roman" w:hAnsi="Times New Roman" w:cs="Times New Roman"/>
          <w:sz w:val="26"/>
          <w:szCs w:val="26"/>
        </w:rPr>
        <w:t>estors that are rational and not infinitely risk-averse should hold a position in the Capital Market Line, and this graph proves that holding a position on the line maximizes return for any given level of risk.</w:t>
      </w:r>
    </w:p>
    <w:p w:rsidR="00F31221" w:rsidRDefault="00F31221">
      <w:pPr>
        <w:spacing w:line="480" w:lineRule="auto"/>
        <w:contextualSpacing w:val="0"/>
        <w:rPr>
          <w:rFonts w:ascii="Times New Roman" w:eastAsia="Times New Roman" w:hAnsi="Times New Roman" w:cs="Times New Roman"/>
          <w:sz w:val="26"/>
          <w:szCs w:val="26"/>
        </w:rPr>
      </w:pPr>
    </w:p>
    <w:p w:rsidR="00F31221" w:rsidRDefault="00764377">
      <w:pPr>
        <w:spacing w:line="480" w:lineRule="auto"/>
        <w:contextualSpacing w:val="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Optimal Utility with Varying Risk Aversion</w:t>
      </w:r>
    </w:p>
    <w:p w:rsidR="00F31221" w:rsidRDefault="00764377">
      <w:pPr>
        <w:spacing w:line="480" w:lineRule="auto"/>
        <w:contextualSpacing w:val="0"/>
        <w:rPr>
          <w:rFonts w:ascii="Times New Roman" w:eastAsia="Times New Roman" w:hAnsi="Times New Roman" w:cs="Times New Roman"/>
          <w:sz w:val="26"/>
          <w:szCs w:val="26"/>
        </w:rPr>
      </w:pPr>
      <w:r>
        <w:rPr>
          <w:rFonts w:ascii="Times New Roman" w:eastAsia="Times New Roman" w:hAnsi="Times New Roman" w:cs="Times New Roman"/>
          <w:sz w:val="26"/>
          <w:szCs w:val="26"/>
        </w:rPr>
        <w:t>Next, we consider the utility function of our portfolio against multiple risk aversions. We will use this to perform the Certainty Equivalence Test:</w:t>
      </w:r>
      <w:r>
        <w:rPr>
          <w:noProof/>
        </w:rPr>
        <w:drawing>
          <wp:anchor distT="114300" distB="114300" distL="114300" distR="114300" simplePos="0" relativeHeight="251666432" behindDoc="0" locked="0" layoutInCell="1" hidden="0" allowOverlap="1">
            <wp:simplePos x="0" y="0"/>
            <wp:positionH relativeFrom="column">
              <wp:posOffset>2000250</wp:posOffset>
            </wp:positionH>
            <wp:positionV relativeFrom="paragraph">
              <wp:posOffset>838200</wp:posOffset>
            </wp:positionV>
            <wp:extent cx="3962400" cy="2391303"/>
            <wp:effectExtent l="25400" t="25400" r="25400" b="25400"/>
            <wp:wrapSquare wrapText="bothSides" distT="114300" distB="114300" distL="114300" distR="11430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3962400" cy="2391303"/>
                    </a:xfrm>
                    <a:prstGeom prst="rect">
                      <a:avLst/>
                    </a:prstGeom>
                    <a:ln w="25400">
                      <a:solidFill>
                        <a:srgbClr val="000000"/>
                      </a:solidFill>
                      <a:prstDash val="solid"/>
                    </a:ln>
                  </pic:spPr>
                </pic:pic>
              </a:graphicData>
            </a:graphic>
          </wp:anchor>
        </w:drawing>
      </w:r>
    </w:p>
    <w:p w:rsidR="00F31221" w:rsidRDefault="00764377">
      <w:pPr>
        <w:spacing w:line="480" w:lineRule="auto"/>
        <w:contextualSpacing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noProof/>
        </w:rPr>
        <w:drawing>
          <wp:anchor distT="114300" distB="114300" distL="114300" distR="114300" simplePos="0" relativeHeight="251667456" behindDoc="0" locked="0" layoutInCell="1" hidden="0" allowOverlap="1">
            <wp:simplePos x="0" y="0"/>
            <wp:positionH relativeFrom="column">
              <wp:posOffset>1</wp:posOffset>
            </wp:positionH>
            <wp:positionV relativeFrom="paragraph">
              <wp:posOffset>200025</wp:posOffset>
            </wp:positionV>
            <wp:extent cx="1887537" cy="2070898"/>
            <wp:effectExtent l="25400" t="25400" r="25400" b="25400"/>
            <wp:wrapSquare wrapText="bothSides" distT="114300" distB="114300" distL="114300" distR="11430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1887537" cy="2070898"/>
                    </a:xfrm>
                    <a:prstGeom prst="rect">
                      <a:avLst/>
                    </a:prstGeom>
                    <a:ln w="25400">
                      <a:solidFill>
                        <a:srgbClr val="000000"/>
                      </a:solidFill>
                      <a:prstDash val="solid"/>
                    </a:ln>
                  </pic:spPr>
                </pic:pic>
              </a:graphicData>
            </a:graphic>
          </wp:anchor>
        </w:drawing>
      </w:r>
    </w:p>
    <w:p w:rsidR="00F31221" w:rsidRDefault="00764377">
      <w:pPr>
        <w:spacing w:line="480" w:lineRule="auto"/>
        <w:contextualSpacing w:val="0"/>
        <w:rPr>
          <w:rFonts w:ascii="Times New Roman" w:eastAsia="Times New Roman" w:hAnsi="Times New Roman" w:cs="Times New Roman"/>
          <w:sz w:val="26"/>
          <w:szCs w:val="26"/>
        </w:rPr>
      </w:pPr>
      <w:r>
        <w:rPr>
          <w:rFonts w:ascii="Times New Roman" w:eastAsia="Times New Roman" w:hAnsi="Times New Roman" w:cs="Times New Roman"/>
          <w:sz w:val="26"/>
          <w:szCs w:val="26"/>
        </w:rPr>
        <w:t>We see that, even with a highest risk aversion of 10, that our utility function exceeds the risk free</w:t>
      </w:r>
      <w:r>
        <w:rPr>
          <w:rFonts w:ascii="Times New Roman" w:eastAsia="Times New Roman" w:hAnsi="Times New Roman" w:cs="Times New Roman"/>
          <w:sz w:val="26"/>
          <w:szCs w:val="26"/>
        </w:rPr>
        <w:t xml:space="preserve"> rate of 0.17%. Thus, the guaranteed amount of cash that would come from investing in the risk free rate would yield less than the expected utility as a given risky asset with absolute certainty.</w:t>
      </w:r>
    </w:p>
    <w:p w:rsidR="00F31221" w:rsidRDefault="00764377">
      <w:pPr>
        <w:spacing w:line="480" w:lineRule="auto"/>
        <w:contextualSpacing w:val="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Conclusion</w:t>
      </w:r>
    </w:p>
    <w:p w:rsidR="00F31221" w:rsidRDefault="00764377">
      <w:pPr>
        <w:spacing w:line="480" w:lineRule="auto"/>
        <w:contextualSpacing w:val="0"/>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In conclusion, we find compelling evidence that </w:t>
      </w:r>
      <w:r>
        <w:rPr>
          <w:rFonts w:ascii="Times New Roman" w:eastAsia="Times New Roman" w:hAnsi="Times New Roman" w:cs="Times New Roman"/>
          <w:sz w:val="26"/>
          <w:szCs w:val="26"/>
        </w:rPr>
        <w:t xml:space="preserve">investing in dividend stocks is a more attractive option than investing in long term bonds. Furthermore, we find that holding an optimal portfolio of the two (53% in Stocks and 47% in Bonds) can give us the ideal “reward-to-risk” ratio that minimizes risk </w:t>
      </w:r>
      <w:r>
        <w:rPr>
          <w:rFonts w:ascii="Times New Roman" w:eastAsia="Times New Roman" w:hAnsi="Times New Roman" w:cs="Times New Roman"/>
          <w:sz w:val="26"/>
          <w:szCs w:val="26"/>
        </w:rPr>
        <w:t xml:space="preserve">for any given level of Expected Return. In addition to this, we find that including a risk-free asset into the portfolio helps </w:t>
      </w:r>
      <w:r>
        <w:rPr>
          <w:rFonts w:ascii="Times New Roman" w:eastAsia="Times New Roman" w:hAnsi="Times New Roman" w:cs="Times New Roman"/>
          <w:sz w:val="26"/>
          <w:szCs w:val="26"/>
        </w:rPr>
        <w:lastRenderedPageBreak/>
        <w:t>us construct the CAL and subsequently aids in creating a portfolio of two risky and one risk-free asset, where investors can choo</w:t>
      </w:r>
      <w:r>
        <w:rPr>
          <w:rFonts w:ascii="Times New Roman" w:eastAsia="Times New Roman" w:hAnsi="Times New Roman" w:cs="Times New Roman"/>
          <w:sz w:val="26"/>
          <w:szCs w:val="26"/>
        </w:rPr>
        <w:t xml:space="preserve">se their ideal position on the line according to their degree of risk aversion. </w:t>
      </w:r>
    </w:p>
    <w:p w:rsidR="00F31221" w:rsidRDefault="00764377">
      <w:pPr>
        <w:spacing w:line="480" w:lineRule="auto"/>
        <w:ind w:firstLine="720"/>
        <w:contextualSpacing w:val="0"/>
        <w:rPr>
          <w:rFonts w:ascii="Times New Roman" w:eastAsia="Times New Roman" w:hAnsi="Times New Roman" w:cs="Times New Roman"/>
          <w:sz w:val="26"/>
          <w:szCs w:val="26"/>
        </w:rPr>
      </w:pPr>
      <w:r>
        <w:rPr>
          <w:rFonts w:ascii="Times New Roman" w:eastAsia="Times New Roman" w:hAnsi="Times New Roman" w:cs="Times New Roman"/>
          <w:sz w:val="26"/>
          <w:szCs w:val="26"/>
        </w:rPr>
        <w:t>With regards to risk aversion, if each asset were considered individually, it would be favorable for risk-averse investors (such as retirees) to invest in the risk-free asset.</w:t>
      </w:r>
      <w:r>
        <w:rPr>
          <w:rFonts w:ascii="Times New Roman" w:eastAsia="Times New Roman" w:hAnsi="Times New Roman" w:cs="Times New Roman"/>
          <w:sz w:val="26"/>
          <w:szCs w:val="26"/>
        </w:rPr>
        <w:t xml:space="preserve"> However, if the optimal portfolio is compared with the risk-free rate, we find that even with a risk aversion of 10, our portfolio gives our investors a better Utility than solely investing in the risk-free rate.</w:t>
      </w:r>
    </w:p>
    <w:p w:rsidR="00F31221" w:rsidRDefault="00764377">
      <w:pPr>
        <w:spacing w:line="480" w:lineRule="auto"/>
        <w:contextualSpacing w:val="0"/>
        <w:rPr>
          <w:rFonts w:ascii="Times New Roman" w:eastAsia="Times New Roman" w:hAnsi="Times New Roman" w:cs="Times New Roman"/>
          <w:sz w:val="26"/>
          <w:szCs w:val="26"/>
        </w:rPr>
      </w:pPr>
      <w:r>
        <w:rPr>
          <w:rFonts w:ascii="Times New Roman" w:eastAsia="Times New Roman" w:hAnsi="Times New Roman" w:cs="Times New Roman"/>
          <w:sz w:val="26"/>
          <w:szCs w:val="26"/>
        </w:rPr>
        <w:tab/>
        <w:t>For further analysis, we could consider o</w:t>
      </w:r>
      <w:r>
        <w:rPr>
          <w:rFonts w:ascii="Times New Roman" w:eastAsia="Times New Roman" w:hAnsi="Times New Roman" w:cs="Times New Roman"/>
          <w:sz w:val="26"/>
          <w:szCs w:val="26"/>
        </w:rPr>
        <w:t>ther criterion, like Jensen’s alpha, to further reinforce our conclusions. We also may wish to consider our data on a rolling basis. Our calculations are all done from historical means, but considering rolling returns may provide a more accurate view on ou</w:t>
      </w:r>
      <w:r>
        <w:rPr>
          <w:rFonts w:ascii="Times New Roman" w:eastAsia="Times New Roman" w:hAnsi="Times New Roman" w:cs="Times New Roman"/>
          <w:sz w:val="26"/>
          <w:szCs w:val="26"/>
        </w:rPr>
        <w:t>r investments, as well as could better show the effects of the 2008 financial crisis on our data. Finally, a major improvement to be made is to consider a longer time period. The period used, 2002-2018, is largely affected by factors such as the 2002 downt</w:t>
      </w:r>
      <w:r>
        <w:rPr>
          <w:rFonts w:ascii="Times New Roman" w:eastAsia="Times New Roman" w:hAnsi="Times New Roman" w:cs="Times New Roman"/>
          <w:sz w:val="26"/>
          <w:szCs w:val="26"/>
        </w:rPr>
        <w:t>urn and the 2008 crash. Looking at data farther back may provide more accurate results. Although our results match our initial intuition, considering returns over a longer time period would help verify or contradict our findings above. Overall, our researc</w:t>
      </w:r>
      <w:r>
        <w:rPr>
          <w:rFonts w:ascii="Times New Roman" w:eastAsia="Times New Roman" w:hAnsi="Times New Roman" w:cs="Times New Roman"/>
          <w:sz w:val="26"/>
          <w:szCs w:val="26"/>
        </w:rPr>
        <w:t>h on Dividend Stocks lead us to believe that investing in Dividend Stocks provides a superior sharpe ratio and average returns than Long Term Bonds, but investing in an optimal portfolio of the 2 assets is an improvement to the risk free rate. This creates</w:t>
      </w:r>
      <w:r>
        <w:rPr>
          <w:rFonts w:ascii="Times New Roman" w:eastAsia="Times New Roman" w:hAnsi="Times New Roman" w:cs="Times New Roman"/>
          <w:sz w:val="26"/>
          <w:szCs w:val="26"/>
        </w:rPr>
        <w:t xml:space="preserve"> a compelling case for retirees to invest in a diversified portfolio in order to increase their risk-adjusted returns.</w:t>
      </w:r>
    </w:p>
    <w:p w:rsidR="00F31221" w:rsidRDefault="00F31221">
      <w:pPr>
        <w:spacing w:line="480" w:lineRule="auto"/>
        <w:contextualSpacing w:val="0"/>
        <w:jc w:val="center"/>
        <w:rPr>
          <w:rFonts w:ascii="Times New Roman" w:eastAsia="Times New Roman" w:hAnsi="Times New Roman" w:cs="Times New Roman"/>
          <w:b/>
          <w:sz w:val="26"/>
          <w:szCs w:val="26"/>
        </w:rPr>
      </w:pPr>
    </w:p>
    <w:p w:rsidR="00F31221" w:rsidRDefault="00F31221">
      <w:pPr>
        <w:spacing w:line="480" w:lineRule="auto"/>
        <w:contextualSpacing w:val="0"/>
        <w:jc w:val="center"/>
        <w:rPr>
          <w:rFonts w:ascii="Times New Roman" w:eastAsia="Times New Roman" w:hAnsi="Times New Roman" w:cs="Times New Roman"/>
          <w:b/>
          <w:sz w:val="26"/>
          <w:szCs w:val="26"/>
        </w:rPr>
      </w:pPr>
    </w:p>
    <w:p w:rsidR="00F31221" w:rsidRDefault="00F31221">
      <w:pPr>
        <w:spacing w:line="480" w:lineRule="auto"/>
        <w:contextualSpacing w:val="0"/>
        <w:jc w:val="center"/>
        <w:rPr>
          <w:rFonts w:ascii="Times New Roman" w:eastAsia="Times New Roman" w:hAnsi="Times New Roman" w:cs="Times New Roman"/>
          <w:b/>
          <w:sz w:val="26"/>
          <w:szCs w:val="26"/>
        </w:rPr>
      </w:pPr>
    </w:p>
    <w:p w:rsidR="00F31221" w:rsidRDefault="00F31221">
      <w:pPr>
        <w:spacing w:line="480" w:lineRule="auto"/>
        <w:contextualSpacing w:val="0"/>
        <w:jc w:val="center"/>
        <w:rPr>
          <w:rFonts w:ascii="Times New Roman" w:eastAsia="Times New Roman" w:hAnsi="Times New Roman" w:cs="Times New Roman"/>
          <w:b/>
          <w:sz w:val="26"/>
          <w:szCs w:val="26"/>
        </w:rPr>
      </w:pPr>
    </w:p>
    <w:p w:rsidR="00F31221" w:rsidRDefault="00F31221">
      <w:pPr>
        <w:spacing w:line="480" w:lineRule="auto"/>
        <w:contextualSpacing w:val="0"/>
        <w:jc w:val="center"/>
        <w:rPr>
          <w:rFonts w:ascii="Times New Roman" w:eastAsia="Times New Roman" w:hAnsi="Times New Roman" w:cs="Times New Roman"/>
          <w:b/>
          <w:sz w:val="26"/>
          <w:szCs w:val="26"/>
        </w:rPr>
      </w:pPr>
    </w:p>
    <w:p w:rsidR="00F31221" w:rsidRDefault="00F31221">
      <w:pPr>
        <w:spacing w:line="480" w:lineRule="auto"/>
        <w:contextualSpacing w:val="0"/>
        <w:jc w:val="center"/>
        <w:rPr>
          <w:rFonts w:ascii="Times New Roman" w:eastAsia="Times New Roman" w:hAnsi="Times New Roman" w:cs="Times New Roman"/>
          <w:b/>
          <w:sz w:val="26"/>
          <w:szCs w:val="26"/>
        </w:rPr>
      </w:pPr>
    </w:p>
    <w:p w:rsidR="00F31221" w:rsidRDefault="00F31221">
      <w:pPr>
        <w:spacing w:line="480" w:lineRule="auto"/>
        <w:contextualSpacing w:val="0"/>
        <w:jc w:val="center"/>
        <w:rPr>
          <w:rFonts w:ascii="Times New Roman" w:eastAsia="Times New Roman" w:hAnsi="Times New Roman" w:cs="Times New Roman"/>
          <w:b/>
          <w:sz w:val="26"/>
          <w:szCs w:val="26"/>
        </w:rPr>
      </w:pPr>
    </w:p>
    <w:p w:rsidR="00F31221" w:rsidRDefault="00F31221">
      <w:pPr>
        <w:spacing w:line="480" w:lineRule="auto"/>
        <w:contextualSpacing w:val="0"/>
        <w:jc w:val="center"/>
        <w:rPr>
          <w:rFonts w:ascii="Times New Roman" w:eastAsia="Times New Roman" w:hAnsi="Times New Roman" w:cs="Times New Roman"/>
          <w:b/>
          <w:sz w:val="26"/>
          <w:szCs w:val="26"/>
        </w:rPr>
      </w:pPr>
    </w:p>
    <w:p w:rsidR="00F31221" w:rsidRDefault="00F31221">
      <w:pPr>
        <w:spacing w:line="480" w:lineRule="auto"/>
        <w:contextualSpacing w:val="0"/>
        <w:jc w:val="center"/>
        <w:rPr>
          <w:rFonts w:ascii="Times New Roman" w:eastAsia="Times New Roman" w:hAnsi="Times New Roman" w:cs="Times New Roman"/>
          <w:b/>
          <w:sz w:val="26"/>
          <w:szCs w:val="26"/>
        </w:rPr>
      </w:pPr>
    </w:p>
    <w:p w:rsidR="00F31221" w:rsidRDefault="00F31221">
      <w:pPr>
        <w:spacing w:line="480" w:lineRule="auto"/>
        <w:contextualSpacing w:val="0"/>
        <w:jc w:val="center"/>
        <w:rPr>
          <w:rFonts w:ascii="Times New Roman" w:eastAsia="Times New Roman" w:hAnsi="Times New Roman" w:cs="Times New Roman"/>
          <w:b/>
          <w:sz w:val="26"/>
          <w:szCs w:val="26"/>
        </w:rPr>
      </w:pPr>
    </w:p>
    <w:p w:rsidR="00F31221" w:rsidRDefault="00F31221">
      <w:pPr>
        <w:spacing w:line="480" w:lineRule="auto"/>
        <w:contextualSpacing w:val="0"/>
        <w:jc w:val="center"/>
        <w:rPr>
          <w:rFonts w:ascii="Times New Roman" w:eastAsia="Times New Roman" w:hAnsi="Times New Roman" w:cs="Times New Roman"/>
          <w:b/>
          <w:sz w:val="26"/>
          <w:szCs w:val="26"/>
        </w:rPr>
      </w:pPr>
    </w:p>
    <w:p w:rsidR="00F31221" w:rsidRDefault="00F31221">
      <w:pPr>
        <w:spacing w:line="480" w:lineRule="auto"/>
        <w:contextualSpacing w:val="0"/>
        <w:jc w:val="center"/>
        <w:rPr>
          <w:rFonts w:ascii="Times New Roman" w:eastAsia="Times New Roman" w:hAnsi="Times New Roman" w:cs="Times New Roman"/>
          <w:b/>
          <w:sz w:val="26"/>
          <w:szCs w:val="26"/>
        </w:rPr>
      </w:pPr>
    </w:p>
    <w:p w:rsidR="00F31221" w:rsidRDefault="00F31221">
      <w:pPr>
        <w:spacing w:line="480" w:lineRule="auto"/>
        <w:contextualSpacing w:val="0"/>
        <w:jc w:val="center"/>
        <w:rPr>
          <w:rFonts w:ascii="Times New Roman" w:eastAsia="Times New Roman" w:hAnsi="Times New Roman" w:cs="Times New Roman"/>
          <w:b/>
          <w:sz w:val="26"/>
          <w:szCs w:val="26"/>
        </w:rPr>
      </w:pPr>
    </w:p>
    <w:p w:rsidR="00F31221" w:rsidRDefault="00F31221">
      <w:pPr>
        <w:spacing w:line="480" w:lineRule="auto"/>
        <w:contextualSpacing w:val="0"/>
        <w:jc w:val="center"/>
        <w:rPr>
          <w:rFonts w:ascii="Times New Roman" w:eastAsia="Times New Roman" w:hAnsi="Times New Roman" w:cs="Times New Roman"/>
          <w:b/>
          <w:sz w:val="26"/>
          <w:szCs w:val="26"/>
        </w:rPr>
      </w:pPr>
    </w:p>
    <w:p w:rsidR="00F31221" w:rsidRDefault="00F31221">
      <w:pPr>
        <w:spacing w:line="480" w:lineRule="auto"/>
        <w:contextualSpacing w:val="0"/>
        <w:jc w:val="center"/>
        <w:rPr>
          <w:rFonts w:ascii="Times New Roman" w:eastAsia="Times New Roman" w:hAnsi="Times New Roman" w:cs="Times New Roman"/>
          <w:b/>
          <w:sz w:val="26"/>
          <w:szCs w:val="26"/>
        </w:rPr>
      </w:pPr>
    </w:p>
    <w:p w:rsidR="00F31221" w:rsidRDefault="00F31221">
      <w:pPr>
        <w:spacing w:line="480" w:lineRule="auto"/>
        <w:contextualSpacing w:val="0"/>
        <w:jc w:val="center"/>
        <w:rPr>
          <w:rFonts w:ascii="Times New Roman" w:eastAsia="Times New Roman" w:hAnsi="Times New Roman" w:cs="Times New Roman"/>
          <w:b/>
          <w:sz w:val="26"/>
          <w:szCs w:val="26"/>
        </w:rPr>
      </w:pPr>
    </w:p>
    <w:p w:rsidR="00F31221" w:rsidRDefault="00F31221">
      <w:pPr>
        <w:spacing w:line="480" w:lineRule="auto"/>
        <w:contextualSpacing w:val="0"/>
        <w:jc w:val="center"/>
        <w:rPr>
          <w:rFonts w:ascii="Times New Roman" w:eastAsia="Times New Roman" w:hAnsi="Times New Roman" w:cs="Times New Roman"/>
          <w:b/>
          <w:sz w:val="26"/>
          <w:szCs w:val="26"/>
        </w:rPr>
      </w:pPr>
    </w:p>
    <w:p w:rsidR="00F31221" w:rsidRDefault="00764377">
      <w:pPr>
        <w:spacing w:line="480" w:lineRule="auto"/>
        <w:contextualSpacing w:val="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Bibliography</w:t>
      </w:r>
    </w:p>
    <w:p w:rsidR="00F31221" w:rsidRDefault="00764377">
      <w:pPr>
        <w:numPr>
          <w:ilvl w:val="0"/>
          <w:numId w:val="1"/>
        </w:num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McCullum, Nick. “Dividend Stocks vs. Bonds: Comparing Risk-Adjusted Returns.” </w:t>
      </w:r>
      <w:r>
        <w:rPr>
          <w:rFonts w:ascii="Times New Roman" w:eastAsia="Times New Roman" w:hAnsi="Times New Roman" w:cs="Times New Roman"/>
          <w:i/>
          <w:sz w:val="26"/>
          <w:szCs w:val="26"/>
        </w:rPr>
        <w:t>Sure Dividend</w:t>
      </w:r>
      <w:r>
        <w:rPr>
          <w:rFonts w:ascii="Times New Roman" w:eastAsia="Times New Roman" w:hAnsi="Times New Roman" w:cs="Times New Roman"/>
          <w:sz w:val="26"/>
          <w:szCs w:val="26"/>
        </w:rPr>
        <w:t xml:space="preserve">, 20 Nov. 2017, </w:t>
      </w:r>
      <w:r>
        <w:rPr>
          <w:rFonts w:ascii="Times New Roman" w:eastAsia="Times New Roman" w:hAnsi="Times New Roman" w:cs="Times New Roman"/>
          <w:sz w:val="26"/>
          <w:szCs w:val="26"/>
        </w:rPr>
        <w:t>www.suredividend.com/dividend-stocks-vs-bonds.</w:t>
      </w:r>
    </w:p>
    <w:p w:rsidR="00F31221" w:rsidRDefault="00764377">
      <w:pPr>
        <w:numPr>
          <w:ilvl w:val="0"/>
          <w:numId w:val="1"/>
        </w:num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French, Kenneth. “Portfolios Formed on Dividend Yield.” </w:t>
      </w:r>
      <w:r>
        <w:rPr>
          <w:rFonts w:ascii="Times New Roman" w:eastAsia="Times New Roman" w:hAnsi="Times New Roman" w:cs="Times New Roman"/>
          <w:i/>
          <w:sz w:val="26"/>
          <w:szCs w:val="26"/>
        </w:rPr>
        <w:t>Kenneth French Data Library</w:t>
      </w:r>
      <w:r>
        <w:rPr>
          <w:rFonts w:ascii="Times New Roman" w:eastAsia="Times New Roman" w:hAnsi="Times New Roman" w:cs="Times New Roman"/>
          <w:sz w:val="26"/>
          <w:szCs w:val="26"/>
        </w:rPr>
        <w:t>, mba.tuck.dartmouth.edu/pages/faculty/ken.french/data_library.html.</w:t>
      </w:r>
    </w:p>
    <w:p w:rsidR="00F31221" w:rsidRDefault="00764377">
      <w:pPr>
        <w:numPr>
          <w:ilvl w:val="0"/>
          <w:numId w:val="1"/>
        </w:num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“TLT : Summary for IShares 20+ Year Treasury Bond.” </w:t>
      </w:r>
      <w:r>
        <w:rPr>
          <w:rFonts w:ascii="Times New Roman" w:eastAsia="Times New Roman" w:hAnsi="Times New Roman" w:cs="Times New Roman"/>
          <w:i/>
          <w:sz w:val="26"/>
          <w:szCs w:val="26"/>
        </w:rPr>
        <w:t>Yahoo</w:t>
      </w:r>
      <w:r>
        <w:rPr>
          <w:rFonts w:ascii="Times New Roman" w:eastAsia="Times New Roman" w:hAnsi="Times New Roman" w:cs="Times New Roman"/>
          <w:i/>
          <w:sz w:val="26"/>
          <w:szCs w:val="26"/>
        </w:rPr>
        <w:t>! Finance</w:t>
      </w:r>
      <w:r>
        <w:rPr>
          <w:rFonts w:ascii="Times New Roman" w:eastAsia="Times New Roman" w:hAnsi="Times New Roman" w:cs="Times New Roman"/>
          <w:sz w:val="26"/>
          <w:szCs w:val="26"/>
        </w:rPr>
        <w:t>, Yahoo!, 30 Nov. 2018, ca.finance.yahoo.com/quote/TLT?p=TLT&amp;.tsrc=fin-srch.</w:t>
      </w:r>
    </w:p>
    <w:p w:rsidR="00F31221" w:rsidRDefault="00764377">
      <w:pPr>
        <w:numPr>
          <w:ilvl w:val="0"/>
          <w:numId w:val="1"/>
        </w:num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“1-Month Treasury Constant Maturity Rate.” </w:t>
      </w:r>
      <w:r>
        <w:rPr>
          <w:rFonts w:ascii="Times New Roman" w:eastAsia="Times New Roman" w:hAnsi="Times New Roman" w:cs="Times New Roman"/>
          <w:i/>
          <w:sz w:val="26"/>
          <w:szCs w:val="26"/>
        </w:rPr>
        <w:t>FRED</w:t>
      </w:r>
      <w:r>
        <w:rPr>
          <w:rFonts w:ascii="Times New Roman" w:eastAsia="Times New Roman" w:hAnsi="Times New Roman" w:cs="Times New Roman"/>
          <w:sz w:val="26"/>
          <w:szCs w:val="26"/>
        </w:rPr>
        <w:t>, Federal Reserve Bank of St. Louis, 30 Nov. 2018, fred.stlouisfed.org/series/DGS1MO.</w:t>
      </w:r>
    </w:p>
    <w:p w:rsidR="00F31221" w:rsidRDefault="00764377">
      <w:pPr>
        <w:numPr>
          <w:ilvl w:val="0"/>
          <w:numId w:val="1"/>
        </w:num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PAGE 212 - Equation 6.13 - Investment</w:t>
      </w:r>
      <w:r>
        <w:rPr>
          <w:rFonts w:ascii="Times New Roman" w:eastAsia="Times New Roman" w:hAnsi="Times New Roman" w:cs="Times New Roman"/>
          <w:sz w:val="26"/>
          <w:szCs w:val="26"/>
        </w:rPr>
        <w:t xml:space="preserve">s (Eighth CANADIAN EDITION) - Bodie, Kane, Marcus, Perrakis, Ryan </w:t>
      </w:r>
    </w:p>
    <w:p w:rsidR="00F31221" w:rsidRDefault="00F31221">
      <w:pPr>
        <w:pBdr>
          <w:top w:val="nil"/>
          <w:left w:val="nil"/>
          <w:bottom w:val="nil"/>
          <w:right w:val="nil"/>
          <w:between w:val="nil"/>
        </w:pBdr>
        <w:contextualSpacing w:val="0"/>
        <w:rPr>
          <w:rFonts w:ascii="Times New Roman" w:eastAsia="Times New Roman" w:hAnsi="Times New Roman" w:cs="Times New Roman"/>
          <w:sz w:val="26"/>
          <w:szCs w:val="26"/>
        </w:rPr>
      </w:pPr>
    </w:p>
    <w:p w:rsidR="00F31221" w:rsidRDefault="00F31221">
      <w:pPr>
        <w:contextualSpacing w:val="0"/>
        <w:rPr>
          <w:rFonts w:ascii="Times New Roman" w:eastAsia="Times New Roman" w:hAnsi="Times New Roman" w:cs="Times New Roman"/>
          <w:sz w:val="26"/>
          <w:szCs w:val="26"/>
        </w:rPr>
      </w:pPr>
    </w:p>
    <w:p w:rsidR="00F31221" w:rsidRDefault="00F31221">
      <w:pPr>
        <w:contextualSpacing w:val="0"/>
        <w:rPr>
          <w:rFonts w:ascii="Times New Roman" w:eastAsia="Times New Roman" w:hAnsi="Times New Roman" w:cs="Times New Roman"/>
          <w:sz w:val="26"/>
          <w:szCs w:val="26"/>
        </w:rPr>
      </w:pPr>
    </w:p>
    <w:p w:rsidR="00F31221" w:rsidRDefault="00F31221">
      <w:pPr>
        <w:contextualSpacing w:val="0"/>
        <w:rPr>
          <w:rFonts w:ascii="Times New Roman" w:eastAsia="Times New Roman" w:hAnsi="Times New Roman" w:cs="Times New Roman"/>
          <w:sz w:val="26"/>
          <w:szCs w:val="26"/>
        </w:rPr>
      </w:pPr>
    </w:p>
    <w:p w:rsidR="00F31221" w:rsidRDefault="00F31221">
      <w:pPr>
        <w:contextualSpacing w:val="0"/>
        <w:rPr>
          <w:rFonts w:ascii="Times New Roman" w:eastAsia="Times New Roman" w:hAnsi="Times New Roman" w:cs="Times New Roman"/>
          <w:sz w:val="26"/>
          <w:szCs w:val="26"/>
        </w:rPr>
      </w:pPr>
    </w:p>
    <w:p w:rsidR="00F31221" w:rsidRDefault="00F31221">
      <w:pPr>
        <w:contextualSpacing w:val="0"/>
        <w:rPr>
          <w:rFonts w:ascii="Times New Roman" w:eastAsia="Times New Roman" w:hAnsi="Times New Roman" w:cs="Times New Roman"/>
          <w:sz w:val="26"/>
          <w:szCs w:val="26"/>
        </w:rPr>
      </w:pPr>
    </w:p>
    <w:p w:rsidR="00F31221" w:rsidRDefault="00F31221">
      <w:pPr>
        <w:contextualSpacing w:val="0"/>
        <w:rPr>
          <w:rFonts w:ascii="Times New Roman" w:eastAsia="Times New Roman" w:hAnsi="Times New Roman" w:cs="Times New Roman"/>
          <w:sz w:val="26"/>
          <w:szCs w:val="26"/>
        </w:rPr>
      </w:pPr>
    </w:p>
    <w:sectPr w:rsidR="00F31221">
      <w:footerReference w:type="default" r:id="rId2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4377" w:rsidRDefault="00764377">
      <w:pPr>
        <w:spacing w:line="240" w:lineRule="auto"/>
      </w:pPr>
      <w:r>
        <w:separator/>
      </w:r>
    </w:p>
  </w:endnote>
  <w:endnote w:type="continuationSeparator" w:id="0">
    <w:p w:rsidR="00764377" w:rsidRDefault="007643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1221" w:rsidRDefault="00F31221">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4377" w:rsidRDefault="00764377">
      <w:pPr>
        <w:spacing w:line="240" w:lineRule="auto"/>
      </w:pPr>
      <w:r>
        <w:separator/>
      </w:r>
    </w:p>
  </w:footnote>
  <w:footnote w:type="continuationSeparator" w:id="0">
    <w:p w:rsidR="00764377" w:rsidRDefault="007643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657221"/>
    <w:multiLevelType w:val="multilevel"/>
    <w:tmpl w:val="6786E2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31221"/>
    <w:rsid w:val="005B3F4E"/>
    <w:rsid w:val="00764377"/>
    <w:rsid w:val="00936C0D"/>
    <w:rsid w:val="00A72C57"/>
    <w:rsid w:val="00F31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F69AF"/>
  <w15:docId w15:val="{1CD6E05A-78C3-4A87-BD27-C287942BA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2188</Words>
  <Characters>12474</Characters>
  <Application>Microsoft Office Word</Application>
  <DocSecurity>0</DocSecurity>
  <Lines>103</Lines>
  <Paragraphs>29</Paragraphs>
  <ScaleCrop>false</ScaleCrop>
  <Company/>
  <LinksUpToDate>false</LinksUpToDate>
  <CharactersWithSpaces>14633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Sully Dawood</cp:lastModifiedBy>
  <cp:revision>4</cp:revision>
  <dcterms:created xsi:type="dcterms:W3CDTF">2018-12-16T20:02:00Z</dcterms:created>
  <dcterms:modified xsi:type="dcterms:W3CDTF">2018-12-16T20:03:00Z</dcterms:modified>
</cp:coreProperties>
</file>