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napToGrid w:val="0"/>
      </w:pPr>
      <w:r>
        <w:t>WINDOWS 剪映专业版  ·  v0.1.2  ·  2026年10月</w:t>
      </w:r>
    </w:p>
    <w:p>
      <w:pPr>
        <w:pStyle w:val="Title"/>
        <w:snapToGrid w:val="0"/>
      </w:pPr>
      <w:r>
        <w:t>灵创智影影视全流程</w:t>
      </w:r>
    </w:p>
    <w:p>
      <w:pPr>
        <w:pStyle w:val="Subtitle"/>
        <w:snapToGrid w:val="0"/>
      </w:pPr>
      <w:r>
        <w:t>学员使用与交付说明</w:t>
      </w:r>
    </w:p>
    <w:p>
      <w:pPr>
        <w:snapToGrid w:val="0"/>
        <w:spacing w:line="340" w:lineRule="exact"/>
      </w:pPr>
      <w:r>
        <w:t>在本地 Codex 中，用一个入口组织剧本、图片资产、分镜、视频、声音与剪辑。你负责确认方向、预算和作品效果，技能负责衔接创作模块、调用会员 API、记录任务与素材版本，最后整理为可继续编辑的 Windows 剪映草稿和 MP4。</w:t>
      </w:r>
    </w:p>
    <w:p>
      <w:pPr>
        <w:pStyle w:val="Heading2"/>
        <w:snapToGrid w:val="0"/>
      </w:pPr>
      <w:r>
        <w:t>你可以从任何已完成的阶段接续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88"/>
        <w:gridCol w:w="2952"/>
        <w:gridCol w:w="4896"/>
      </w:tblGrid>
      <w:tr>
        <w:trPr>
          <w:cantSplit/>
          <w:tblHeader/>
        </w:trPr>
        <w:tc>
          <w:tcPr>
            <w:tcW w:type="dxa" w:w="2088"/>
            <w:vAlign w:val="center"/>
            <w:shd w:fill="173A4B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/>
                <w:color w:val="FFFFFF"/>
                <w:sz w:val="21"/>
              </w:rPr>
              <w:t>你目前拥有</w:t>
            </w:r>
          </w:p>
        </w:tc>
        <w:tc>
          <w:tcPr>
            <w:tcW w:type="dxa" w:w="2952"/>
            <w:vAlign w:val="center"/>
            <w:shd w:fill="173A4B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/>
                <w:color w:val="FFFFFF"/>
                <w:sz w:val="21"/>
              </w:rPr>
              <w:t>推荐起点</w:t>
            </w:r>
          </w:p>
        </w:tc>
        <w:tc>
          <w:tcPr>
            <w:tcW w:type="dxa" w:w="4896"/>
            <w:vAlign w:val="center"/>
            <w:shd w:fill="173A4B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/>
                <w:color w:val="FFFFFF"/>
                <w:sz w:val="21"/>
              </w:rPr>
              <w:t>下一步产物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只有想法</w:t>
            </w:r>
          </w:p>
        </w:tc>
        <w:tc>
          <w:tcPr>
            <w:tcW w:type="dxa" w:w="2952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选择短剧或商业路线</w:t>
            </w:r>
          </w:p>
        </w:tc>
        <w:tc>
          <w:tcPr>
            <w:tcW w:type="dxa" w:w="4896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故事方向或创作简报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已有脚本</w:t>
            </w:r>
          </w:p>
        </w:tc>
        <w:tc>
          <w:tcPr>
            <w:tcW w:type="dxa" w:w="2952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核对脚本和镜头缺项</w:t>
            </w:r>
          </w:p>
        </w:tc>
        <w:tc>
          <w:tcPr>
            <w:tcW w:type="dxa" w:w="4896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资产需求与分镜计划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脚本和部分素材</w:t>
            </w:r>
          </w:p>
        </w:tc>
        <w:tc>
          <w:tcPr>
            <w:tcW w:type="dxa" w:w="2952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盘点并复用已有成果</w:t>
            </w:r>
          </w:p>
        </w:tc>
        <w:tc>
          <w:tcPr>
            <w:tcW w:type="dxa" w:w="4896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只补缺失素材和镜头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已确认视频素材</w:t>
            </w:r>
          </w:p>
        </w:tc>
        <w:tc>
          <w:tcPr>
            <w:tcW w:type="dxa" w:w="2952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登记最终采用版本</w:t>
            </w:r>
          </w:p>
        </w:tc>
        <w:tc>
          <w:tcPr>
            <w:tcW w:type="dxa" w:w="4896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声音字幕预览与初剪</w:t>
            </w:r>
          </w:p>
        </w:tc>
      </w:tr>
    </w:tbl>
    <w:p>
      <w:pPr>
        <w:spacing w:after="0" w:line="60" w:lineRule="exact"/>
        <w:snapToGrid w:val="0"/>
      </w:pPr>
      <w:r>
        <w:rPr>
          <w:sz w:val="6"/>
        </w:rPr>
      </w:r>
    </w:p>
    <w:p>
      <w:pPr>
        <w:pStyle w:val="Heading2"/>
        <w:snapToGrid w:val="0"/>
      </w:pPr>
      <w:r>
        <w:t>一个入口  两条创作路线</w:t>
      </w:r>
    </w:p>
    <w:p>
      <w:pPr>
        <w:snapToGrid w:val="0"/>
        <w:spacing w:line="340" w:lineRule="exact"/>
      </w:pPr>
      <w:r>
        <w:t>短剧路线从人物、冲突和故事结构展开；商业路线从传播目标、产品信息和内容需求展开。剧本确认后，两条路线都进入同一套导演、生产和交付流程。</w:t>
      </w:r>
    </w:p>
    <w:p>
      <w:pPr>
        <w:pStyle w:val="Heading2"/>
        <w:snapToGrid w:val="0"/>
      </w:pPr>
      <w:r>
        <w:t>你能带走什么</w:t>
      </w:r>
    </w:p>
    <w:p>
      <w:pPr>
        <w:snapToGrid w:val="0"/>
        <w:spacing w:line="340" w:lineRule="exact"/>
      </w:pPr>
      <w:r>
        <w:t>一个可继续推进的本地作品项目、同作品画布中的生成任务与素材，以及最终确认素材、MP4、可编辑剪映草稿、SRT 字幕、分轨声音和逐任务费用记录。具体文件随本次制作内容输出。</w:t>
      </w:r>
    </w:p>
    <w:p>
      <w:pPr>
        <w:snapToGrid w:val="0"/>
        <w:spacing w:line="340" w:lineRule="exact"/>
      </w:pPr>
      <w:r>
        <w:t>适用环境：Windows、Codex、灵创智影会员 API Key、Python 运行环境和剪映专业版。生成调用消耗会员积分；安装技能本身不会自动提交生成任务。</w:t>
      </w:r>
    </w:p>
    <w:p>
      <w:pPr>
        <w:snapToGrid w:val="0"/>
      </w:pPr>
      <w:r>
        <w:br w:type="page"/>
      </w:r>
    </w:p>
    <w:p>
      <w:pPr>
        <w:snapToGrid w:val="0"/>
        <w:spacing w:line="340" w:lineRule="exact"/>
      </w:pPr>
      <w:r>
        <w:rPr>
          <w:color w:val="65747C"/>
          <w:sz w:val="18"/>
        </w:rPr>
        <w:t>02  灵创智影影视全流程</w:t>
      </w:r>
    </w:p>
    <w:p>
      <w:pPr>
        <w:pStyle w:val="Heading1"/>
        <w:snapToGrid w:val="0"/>
      </w:pPr>
      <w:r>
        <w:t>从创作方案到镜头素材</w:t>
      </w:r>
    </w:p>
    <w:p>
      <w:pPr>
        <w:snapToGrid w:val="0"/>
        <w:spacing w:line="340" w:lineRule="exact"/>
      </w:pPr>
      <w:r>
        <w:t>客户只使用总入口。技能根据当前任务读取随包模块，已有剧本和资产先复用，缺项再补齐。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28"/>
        <w:gridCol w:w="5256"/>
        <w:gridCol w:w="2952"/>
      </w:tblGrid>
      <w:tr>
        <w:trPr>
          <w:cantSplit/>
          <w:tblHeader/>
        </w:trPr>
        <w:tc>
          <w:tcPr>
            <w:tcW w:type="dxa" w:w="1728"/>
            <w:vAlign w:val="center"/>
            <w:shd w:fill="173A4B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/>
                <w:color w:val="FFFFFF"/>
                <w:sz w:val="21"/>
              </w:rPr>
              <w:t>能力模块</w:t>
            </w:r>
          </w:p>
        </w:tc>
        <w:tc>
          <w:tcPr>
            <w:tcW w:type="dxa" w:w="5256"/>
            <w:vAlign w:val="center"/>
            <w:shd w:fill="173A4B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/>
                <w:color w:val="FFFFFF"/>
                <w:sz w:val="21"/>
              </w:rPr>
              <w:t>具体工作</w:t>
            </w:r>
          </w:p>
        </w:tc>
        <w:tc>
          <w:tcPr>
            <w:tcW w:type="dxa" w:w="2952"/>
            <w:vAlign w:val="center"/>
            <w:shd w:fill="173A4B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/>
                <w:color w:val="FFFFFF"/>
                <w:sz w:val="21"/>
              </w:rPr>
              <w:t>学员确认重点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短剧编剧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故事方向、世界与人物设定、结构大纲、剧本及分镜脚本</w:t>
            </w:r>
          </w:p>
        </w:tc>
        <w:tc>
          <w:tcPr>
            <w:tcW w:type="dxa" w:w="2952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人物动机、冲突、节奏与结局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影视总导演</w:t>
            </w:r>
          </w:p>
        </w:tc>
        <w:tc>
          <w:tcPr>
            <w:tcW w:type="dxa" w:w="5256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商业脚本、角色与场景资产、分镜、运镜、表演、连续性检查及定点返修</w:t>
            </w:r>
          </w:p>
        </w:tc>
        <w:tc>
          <w:tcPr>
            <w:tcW w:type="dxa" w:w="2952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视觉方向、镜头设计与角色一致性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平台生产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图片、视频、配音、配乐及已适配后处理的报价、提交、查询和下载</w:t>
            </w:r>
          </w:p>
        </w:tc>
        <w:tc>
          <w:tcPr>
            <w:tcW w:type="dxa" w:w="2952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输入素材、输出规格、费用上限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剪映交付</w:t>
            </w:r>
          </w:p>
        </w:tc>
        <w:tc>
          <w:tcPr>
            <w:tcW w:type="dxa" w:w="5256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最终版本选择、字幕与声音短预览、初剪、可编辑草稿和 MP4</w:t>
            </w:r>
          </w:p>
        </w:tc>
        <w:tc>
          <w:tcPr>
            <w:tcW w:type="dxa" w:w="2952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全片音画、字幕、素材完整及可编辑性</w:t>
            </w:r>
          </w:p>
        </w:tc>
      </w:tr>
    </w:tbl>
    <w:p>
      <w:pPr>
        <w:spacing w:after="0" w:line="60" w:lineRule="exact"/>
        <w:snapToGrid w:val="0"/>
      </w:pPr>
      <w:r>
        <w:rPr>
          <w:sz w:val="6"/>
        </w:rPr>
      </w:r>
    </w:p>
    <w:p>
      <w:pPr>
        <w:pStyle w:val="Heading2"/>
        <w:snapToGrid w:val="0"/>
      </w:pPr>
      <w:r>
        <w:t>镜头语言有明确的制作依据</w:t>
      </w:r>
    </w:p>
    <w:p>
      <w:pPr>
        <w:snapToGrid w:val="0"/>
        <w:spacing w:line="340" w:lineRule="exact"/>
      </w:pPr>
      <w:r>
        <w:t>每个镜头围绕景别、机位、角色动作、运镜、表演、准确台词、时长和首尾状态组织。换景、换装、视线和空间关系在生成前检查，返修定位到具体问题，不默认把已确认镜头全部重做。</w:t>
      </w:r>
    </w:p>
    <w:p>
      <w:pPr>
        <w:pStyle w:val="Heading2"/>
        <w:snapToGrid w:val="0"/>
      </w:pPr>
      <w:r>
        <w:t>动作参考可先转换为深度白膜</w:t>
      </w:r>
    </w:p>
    <w:p>
      <w:pPr>
        <w:snapToGrid w:val="0"/>
        <w:spacing w:line="340" w:lineRule="exact"/>
      </w:pPr>
      <w:r>
        <w:t>需要借用动作参考视频时，可以先确认原片，再单独报价进行深度白膜转换。验收通过后，按目标视频模型实际支持的参考输入引用；保留原片、白膜结果和生成任务的来源关系。白膜转换是可选的付费后处理，不是所有镜头的必经步骤。</w:t>
      </w:r>
    </w:p>
    <w:p>
      <w:pPr>
        <w:pStyle w:val="Heading2"/>
        <w:snapToGrid w:val="0"/>
      </w:pPr>
      <w:r>
        <w:t>支持创意设计  尊重模型实际能力</w:t>
      </w:r>
    </w:p>
    <w:p>
      <w:pPr>
        <w:snapToGrid w:val="0"/>
        <w:spacing w:line="340" w:lineRule="exact"/>
      </w:pPr>
      <w:r>
        <w:t>导演模块将镜头要求组织为提示词和已适配参数。可用的参考数量、时长、比例、分辨率与原生声音能力，以当次会员目录为准；模型不支持的输入不会通过忽略参考或伪造参数来绕过。</w:t>
      </w:r>
    </w:p>
    <w:p>
      <w:pPr>
        <w:snapToGrid w:val="0"/>
      </w:pPr>
      <w:r>
        <w:br w:type="page"/>
      </w:r>
    </w:p>
    <w:p>
      <w:pPr>
        <w:snapToGrid w:val="0"/>
        <w:spacing w:line="340" w:lineRule="exact"/>
      </w:pPr>
      <w:r>
        <w:rPr>
          <w:color w:val="65747C"/>
          <w:sz w:val="18"/>
        </w:rPr>
        <w:t>03  灵创智影影视全流程</w:t>
      </w:r>
    </w:p>
    <w:p>
      <w:pPr>
        <w:pStyle w:val="Heading1"/>
        <w:snapToGrid w:val="0"/>
      </w:pPr>
      <w:r>
        <w:t>三档制作方案与预算</w:t>
      </w:r>
    </w:p>
    <w:p>
      <w:pPr>
        <w:snapToGrid w:val="0"/>
        <w:spacing w:line="340" w:lineRule="exact"/>
      </w:pPr>
      <w:r>
        <w:t>先选择适合的制作档位，再按镜头要求细化模型与规格。也可以指定目录中已经适配、与你的素材兼容的模型。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52"/>
        <w:gridCol w:w="3024"/>
        <w:gridCol w:w="2376"/>
        <w:gridCol w:w="3384"/>
      </w:tblGrid>
      <w:tr>
        <w:trPr>
          <w:cantSplit/>
          <w:tblHeader/>
        </w:trPr>
        <w:tc>
          <w:tcPr>
            <w:tcW w:type="dxa" w:w="1152"/>
            <w:vAlign w:val="center"/>
            <w:shd w:fill="173A4B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/>
                <w:color w:val="FFFFFF"/>
                <w:sz w:val="21"/>
              </w:rPr>
              <w:t>方案</w:t>
            </w:r>
          </w:p>
        </w:tc>
        <w:tc>
          <w:tcPr>
            <w:tcW w:type="dxa" w:w="3024"/>
            <w:vAlign w:val="center"/>
            <w:shd w:fill="173A4B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/>
                <w:color w:val="FFFFFF"/>
                <w:sz w:val="21"/>
              </w:rPr>
              <w:t>图片资产建议</w:t>
            </w:r>
          </w:p>
        </w:tc>
        <w:tc>
          <w:tcPr>
            <w:tcW w:type="dxa" w:w="2376"/>
            <w:vAlign w:val="center"/>
            <w:shd w:fill="173A4B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/>
                <w:color w:val="FFFFFF"/>
                <w:sz w:val="21"/>
              </w:rPr>
              <w:t>视频主选</w:t>
            </w:r>
          </w:p>
        </w:tc>
        <w:tc>
          <w:tcPr>
            <w:tcW w:type="dxa" w:w="3384"/>
            <w:vAlign w:val="center"/>
            <w:shd w:fill="173A4B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/>
                <w:color w:val="FFFFFF"/>
                <w:sz w:val="21"/>
              </w:rPr>
              <w:t>适合的起步需求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基础制作</w:t>
            </w:r>
          </w:p>
        </w:tc>
        <w:tc>
          <w:tcPr>
            <w:tcW w:type="dxa" w:w="3024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GPT Image 2 1K</w:t>
              <w:br/>
              <w:t>参考 1 积分／张</w:t>
            </w:r>
          </w:p>
        </w:tc>
        <w:tc>
          <w:tcPr>
            <w:tcW w:type="dxa" w:w="2376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H3 768P</w:t>
            </w:r>
          </w:p>
        </w:tc>
        <w:tc>
          <w:tcPr>
            <w:tcW w:type="dxa" w:w="3384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预算较敏感的试片与常规镜头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标准制作</w:t>
            </w:r>
          </w:p>
        </w:tc>
        <w:tc>
          <w:tcPr>
            <w:tcW w:type="dxa" w:w="3024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Image 2.5</w:t>
              <w:br/>
              <w:t>参考 2 积分／张</w:t>
            </w:r>
          </w:p>
        </w:tc>
        <w:tc>
          <w:tcPr>
            <w:tcW w:type="dxa" w:w="2376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H3</w:t>
              <w:br/>
              <w:t>按参考素材选兼容版本</w:t>
            </w:r>
          </w:p>
        </w:tc>
        <w:tc>
          <w:tcPr>
            <w:tcW w:type="dxa" w:w="3384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更高图片规格与多素材制作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高级制作</w:t>
            </w:r>
          </w:p>
        </w:tc>
        <w:tc>
          <w:tcPr>
            <w:tcW w:type="dxa" w:w="3024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Nano Banana Pro</w:t>
              <w:br/>
              <w:t>参考 3 积分／张</w:t>
              <w:br/>
              <w:t>也可选 Image 2.5</w:t>
            </w:r>
          </w:p>
        </w:tc>
        <w:tc>
          <w:tcPr>
            <w:tcW w:type="dxa" w:w="2376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Seedance 2.5</w:t>
              <w:br/>
              <w:t>默认 480P</w:t>
            </w:r>
          </w:p>
        </w:tc>
        <w:tc>
          <w:tcPr>
            <w:tcW w:type="dxa" w:w="3384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对图片资产和视频方案要求更高的制作</w:t>
            </w:r>
          </w:p>
        </w:tc>
      </w:tr>
    </w:tbl>
    <w:p>
      <w:pPr>
        <w:spacing w:after="0" w:line="60" w:lineRule="exact"/>
        <w:snapToGrid w:val="0"/>
      </w:pPr>
      <w:r>
        <w:rPr>
          <w:sz w:val="6"/>
        </w:rPr>
      </w:r>
    </w:p>
    <w:p>
      <w:pPr>
        <w:snapToGrid w:val="0"/>
        <w:spacing w:line="340" w:lineRule="exact"/>
      </w:pPr>
      <w:r>
        <w:t>图片数字为本版本的方案参考，不构成固定价格承诺。后台价格、模型权限或能力变化时，以当前会员目录和有效报价为准；视频按模型、时长、规格及参考输入实时报价。</w:t>
      </w:r>
    </w:p>
    <w:p>
      <w:pPr>
        <w:pStyle w:val="Heading2"/>
        <w:snapToGrid w:val="0"/>
      </w:pPr>
      <w:r>
        <w:t>验收后再决定高清处理</w:t>
      </w:r>
    </w:p>
    <w:p>
      <w:pPr>
        <w:snapToGrid w:val="0"/>
        <w:spacing w:line="340" w:lineRule="exact"/>
      </w:pPr>
      <w:r>
        <w:t>三个档位都可以在确认视频后，单独选择 1080P、2K、4K 或 8K 超分，实际可选项以模型目录为准。高级方案先以 480P 验收内容，再决定高清需求，避免对尚未采用的镜头重复投入。超分与返修都需独立确认费用。</w:t>
      </w:r>
    </w:p>
    <w:p>
      <w:pPr>
        <w:pStyle w:val="Heading2"/>
        <w:snapToGrid w:val="0"/>
      </w:pPr>
      <w:r>
        <w:t>辅助镜头按任务选择</w:t>
      </w:r>
    </w:p>
    <w:p>
      <w:pPr>
        <w:snapToGrid w:val="0"/>
        <w:spacing w:line="340" w:lineRule="exact"/>
      </w:pPr>
      <w:r>
        <w:t>简单单图或短片段可考虑 GK-video-3；首尾帧转场可考虑 Veo 3.1 Fast，方案默认 1080P、8 秒，再按剪辑需要裁剪。它们是任务建议，不会自动替换已经确认的主模型。</w:t>
      </w:r>
    </w:p>
    <w:p>
      <w:pPr>
        <w:pStyle w:val="Heading2"/>
        <w:snapToGrid w:val="0"/>
      </w:pPr>
      <w:r>
        <w:t>每次确认都对应一份明确报价</w:t>
      </w:r>
    </w:p>
    <w:p>
      <w:pPr>
        <w:snapToGrid w:val="0"/>
        <w:spacing w:line="340" w:lineRule="exact"/>
      </w:pPr>
      <w:r>
        <w:t>报价前列清模型、数量、时长、分辨率、参考素材、预估积分和预扣上限。图片与视频分别确认；生成后另行验收。预扣金额不等于最终消耗，未结算的实际积分显示为待结算，不记为 0。</w:t>
      </w:r>
    </w:p>
    <w:p>
      <w:pPr>
        <w:snapToGrid w:val="0"/>
        <w:spacing w:line="340" w:lineRule="exact"/>
      </w:pPr>
      <w:r>
        <w:t>通道异常时先核对原任务。只有满足安全恢复条件，才提出兼容备用方案；费用或规格变化要重新确认。报价过期也必须重新报价，不自动沿用旧授权。</w:t>
      </w:r>
    </w:p>
    <w:p>
      <w:pPr>
        <w:snapToGrid w:val="0"/>
      </w:pPr>
      <w:r>
        <w:br w:type="page"/>
      </w:r>
    </w:p>
    <w:p>
      <w:pPr>
        <w:snapToGrid w:val="0"/>
        <w:spacing w:line="340" w:lineRule="exact"/>
      </w:pPr>
      <w:r>
        <w:rPr>
          <w:color w:val="65747C"/>
          <w:sz w:val="18"/>
        </w:rPr>
        <w:t>04  灵创智影影视全流程</w:t>
      </w:r>
    </w:p>
    <w:p>
      <w:pPr>
        <w:pStyle w:val="Heading1"/>
        <w:snapToGrid w:val="0"/>
      </w:pPr>
      <w:r>
        <w:t>一部作品如何推进</w:t>
      </w:r>
    </w:p>
    <w:p>
      <w:pPr>
        <w:snapToGrid w:val="0"/>
        <w:spacing w:line="340" w:lineRule="exact"/>
      </w:pPr>
      <w:r>
        <w:t>以一部含人物对白的短片为例，下面的顺序适用于短剧和商业项目。已经完成的步骤直接接续。</w:t>
      </w:r>
    </w:p>
    <w:p>
      <w:pPr>
        <w:pStyle w:val="Heading2"/>
        <w:snapToGrid w:val="0"/>
      </w:pPr>
      <w:r>
        <w:t>01 明确路线和目标</w:t>
      </w:r>
    </w:p>
    <w:p>
      <w:pPr>
        <w:snapToGrid w:val="0"/>
        <w:spacing w:line="340" w:lineRule="exact"/>
      </w:pPr>
      <w:r>
        <w:t>提供用途、受众、时长、画幅和已有材料。确认走短剧还是商业路线，先确定本次需要完成的阶段。</w:t>
      </w:r>
    </w:p>
    <w:p>
      <w:pPr>
        <w:pStyle w:val="Heading2"/>
        <w:snapToGrid w:val="0"/>
      </w:pPr>
      <w:r>
        <w:t>02 核对剧本和资产</w:t>
      </w:r>
    </w:p>
    <w:p>
      <w:pPr>
        <w:snapToGrid w:val="0"/>
        <w:spacing w:line="340" w:lineRule="exact"/>
      </w:pPr>
      <w:r>
        <w:t>确认脚本，整理人物、服装、场景和道具。缺失资产先出图片方案和报价，确认后生成并验收。</w:t>
      </w:r>
    </w:p>
    <w:p>
      <w:pPr>
        <w:pStyle w:val="Heading2"/>
        <w:snapToGrid w:val="0"/>
      </w:pPr>
      <w:r>
        <w:t>03 确认分镜和表演</w:t>
      </w:r>
    </w:p>
    <w:p>
      <w:pPr>
        <w:snapToGrid w:val="0"/>
        <w:spacing w:line="340" w:lineRule="exact"/>
      </w:pPr>
      <w:r>
        <w:t>把剧本转为镜头清单，记录台词、景别、动作、运镜和首尾衔接。需要的分镜图按独立批次确认。</w:t>
      </w:r>
    </w:p>
    <w:p>
      <w:pPr>
        <w:pStyle w:val="Heading2"/>
        <w:snapToGrid w:val="0"/>
      </w:pPr>
      <w:r>
        <w:t>04 报价并生成视频</w:t>
      </w:r>
    </w:p>
    <w:p>
      <w:pPr>
        <w:snapToGrid w:val="0"/>
        <w:spacing w:line="340" w:lineRule="exact"/>
      </w:pPr>
      <w:r>
        <w:t>根据参考素材选择兼容模型，展示费用并等待确认。同一个作品默认复用一个画布和本地项目，查询与下载沿用原任务。</w:t>
      </w:r>
    </w:p>
    <w:p>
      <w:pPr>
        <w:pStyle w:val="Heading2"/>
        <w:snapToGrid w:val="0"/>
      </w:pPr>
      <w:r>
        <w:t>05 审片与定点返修</w:t>
      </w:r>
    </w:p>
    <w:p>
      <w:pPr>
        <w:snapToGrid w:val="0"/>
        <w:spacing w:line="340" w:lineRule="exact"/>
      </w:pPr>
      <w:r>
        <w:t>检查商品或人物一致性、动作、对白和画面。明确保留、返修或弃用；需要超分时，以已确认的视频版本作为来源。</w:t>
      </w:r>
    </w:p>
    <w:p>
      <w:pPr>
        <w:pStyle w:val="Heading2"/>
        <w:snapToGrid w:val="0"/>
      </w:pPr>
      <w:r>
        <w:t>06 先看声音和字幕短预览</w:t>
      </w:r>
    </w:p>
    <w:p>
      <w:pPr>
        <w:snapToGrid w:val="0"/>
        <w:spacing w:line="340" w:lineRule="exact"/>
      </w:pPr>
      <w:r>
        <w:t>对白优先保留视频原生声音；旁白、补配、配乐按需求安排。字幕与时码先核对，短预览确认后应用全片；新增付费声音另行报价。</w:t>
      </w:r>
    </w:p>
    <w:p>
      <w:pPr>
        <w:pStyle w:val="Heading2"/>
        <w:snapToGrid w:val="0"/>
      </w:pPr>
      <w:r>
        <w:t>07 确认全片与剪映草稿</w:t>
      </w:r>
    </w:p>
    <w:p>
      <w:pPr>
        <w:snapToGrid w:val="0"/>
        <w:spacing w:line="340" w:lineRule="exact"/>
      </w:pPr>
      <w:r>
        <w:t>按已确认入出点初剪，保留完整台词。预览全片后验收 MP4，并在目标 Windows 剪映检查素材、字幕和音轨可编辑性。</w:t>
      </w:r>
    </w:p>
    <w:p>
      <w:pPr>
        <w:snapToGrid w:val="0"/>
        <w:spacing w:line="340" w:lineRule="exact"/>
      </w:pPr>
      <w:r>
        <w:t>中途退出后，从原项目继续：读取阶段记录、查询原任务，再处理下一步。不要清空项目缓存，也不要因为等待较久就重新生成。</w:t>
      </w:r>
    </w:p>
    <w:p>
      <w:pPr>
        <w:snapToGrid w:val="0"/>
      </w:pPr>
      <w:r>
        <w:br w:type="page"/>
      </w:r>
    </w:p>
    <w:p>
      <w:pPr>
        <w:snapToGrid w:val="0"/>
        <w:spacing w:line="340" w:lineRule="exact"/>
      </w:pPr>
      <w:r>
        <w:rPr>
          <w:color w:val="65747C"/>
          <w:sz w:val="18"/>
        </w:rPr>
        <w:t>05  灵创智影影视全流程</w:t>
      </w:r>
    </w:p>
    <w:p>
      <w:pPr>
        <w:pStyle w:val="Heading1"/>
        <w:snapToGrid w:val="0"/>
      </w:pPr>
      <w:r>
        <w:t>成片交付与验收</w:t>
      </w:r>
    </w:p>
    <w:p>
      <w:pPr>
        <w:snapToGrid w:val="0"/>
        <w:spacing w:line="340" w:lineRule="exact"/>
      </w:pPr>
      <w:r>
        <w:t>交付只收录明确验收并选择采用的素材。最新生成的版本不自动等于最终版本；返修和超分均保留原素材关系。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08"/>
        <w:gridCol w:w="7128"/>
      </w:tblGrid>
      <w:tr>
        <w:trPr>
          <w:cantSplit/>
          <w:tblHeader/>
        </w:trPr>
        <w:tc>
          <w:tcPr>
            <w:tcW w:type="dxa" w:w="2808"/>
            <w:vAlign w:val="center"/>
            <w:shd w:fill="173A4B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/>
                <w:color w:val="FFFFFF"/>
                <w:sz w:val="21"/>
              </w:rPr>
              <w:t>交付内容</w:t>
            </w:r>
          </w:p>
        </w:tc>
        <w:tc>
          <w:tcPr>
            <w:tcW w:type="dxa" w:w="7128"/>
            <w:vAlign w:val="center"/>
            <w:shd w:fill="173A4B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/>
                <w:color w:val="FFFFFF"/>
                <w:sz w:val="21"/>
              </w:rPr>
              <w:t>学员可以怎样使用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film.mp4</w:t>
            </w:r>
          </w:p>
        </w:tc>
        <w:tc>
          <w:tcPr>
            <w:tcW w:type="dxa" w:w="7128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播放、审片和按实际用途交付的成片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Windows 剪映可编辑草稿</w:t>
            </w:r>
          </w:p>
        </w:tc>
        <w:tc>
          <w:tcPr>
            <w:tcW w:type="dxa" w:w="7128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继续调整视频片段、字幕、原声音轨及独立声音素材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media 素材目录</w:t>
            </w:r>
          </w:p>
        </w:tc>
        <w:tc>
          <w:tcPr>
            <w:tcW w:type="dxa" w:w="7128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保存所用素材和原片，支持继续剪辑和重新绑定路径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subtitles.srt</w:t>
            </w:r>
          </w:p>
        </w:tc>
        <w:tc>
          <w:tcPr>
            <w:tcW w:type="dxa" w:w="7128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独立字幕文本与时码，可用于校对或后续处理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分轨声音</w:t>
            </w:r>
          </w:p>
        </w:tc>
        <w:tc>
          <w:tcPr>
            <w:tcW w:type="dxa" w:w="7128"/>
            <w:vAlign w:val="center"/>
            <w:shd w:fill="FFFFFF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保留视频原声，并组织已采用的配音、配乐和本地音效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来源与费用记录</w:t>
            </w:r>
          </w:p>
        </w:tc>
        <w:tc>
          <w:tcPr>
            <w:tcW w:type="dxa" w:w="7128"/>
            <w:vAlign w:val="center"/>
            <w:shd w:fill="F2F6F8"/>
            <w:tcMar>
              <w:top w:w="110" w:type="dxa"/>
              <w:bottom w:w="110" w:type="dxa"/>
              <w:left w:w="125" w:type="dxa"/>
              <w:right w:w="125" w:type="dxa"/>
            </w:tcMar>
          </w:tcPr>
          <w:p>
            <w:pPr>
              <w:spacing w:after="0" w:line="320" w:lineRule="exact"/>
              <w:snapToGrid w:val="0"/>
            </w:pPr>
            <w:r>
              <w:rPr>
                <w:b w:val="0"/>
                <w:color w:val="172830"/>
                <w:sz w:val="21"/>
              </w:rPr>
              <w:t>核对采用版本、原任务、预估积分、实际消耗和结算状态</w:t>
            </w:r>
          </w:p>
        </w:tc>
      </w:tr>
    </w:tbl>
    <w:p>
      <w:pPr>
        <w:spacing w:after="0" w:line="60" w:lineRule="exact"/>
        <w:snapToGrid w:val="0"/>
      </w:pPr>
      <w:r>
        <w:rPr>
          <w:sz w:val="6"/>
        </w:rPr>
      </w:r>
    </w:p>
    <w:p>
      <w:pPr>
        <w:pStyle w:val="Heading2"/>
        <w:snapToGrid w:val="0"/>
      </w:pPr>
      <w:r>
        <w:t>交付前逐项检查</w:t>
      </w:r>
    </w:p>
    <w:p>
      <w:pPr>
        <w:snapToGrid w:val="0"/>
        <w:spacing w:line="340" w:lineRule="exact"/>
      </w:pPr>
      <w:r>
        <w:t>画面：镜头无遗漏，画幅与顺序正确，无意外黑帧。声音：对白完整，配乐音量合适，无意外截断。字幕：内容与时码已核对，不越界、不遮挡关键画面。</w:t>
      </w:r>
    </w:p>
    <w:p>
      <w:pPr>
        <w:snapToGrid w:val="0"/>
        <w:spacing w:line="340" w:lineRule="exact"/>
      </w:pPr>
      <w:r>
        <w:t>工程：目标 Windows 剪映能打开，素材无缺失；字幕与音轨可以修改，保存后重新打开正常。修改清单或素材后，需要重新预览与确认。</w:t>
      </w:r>
    </w:p>
    <w:p>
      <w:pPr>
        <w:pStyle w:val="Heading2"/>
        <w:snapToGrid w:val="0"/>
      </w:pPr>
      <w:r>
        <w:t>更换电脑时如何处理</w:t>
      </w:r>
    </w:p>
    <w:p>
      <w:pPr>
        <w:snapToGrid w:val="0"/>
        <w:spacing w:line="340" w:lineRule="exact"/>
      </w:pPr>
      <w:r>
        <w:t>整体保留交付文件夹，移动后重新绑定素材路径，再安装到确认过的剪映草稿目录。每次生成新的交付目录，不覆盖既有项目或草稿。不要只拷贝单个草稿文件。</w:t>
      </w:r>
    </w:p>
    <w:p>
      <w:pPr>
        <w:pStyle w:val="Heading2"/>
        <w:snapToGrid w:val="0"/>
      </w:pPr>
      <w:r>
        <w:t>已验证的兼容范围</w:t>
      </w:r>
    </w:p>
    <w:p>
      <w:pPr>
        <w:snapToGrid w:val="0"/>
        <w:spacing w:line="340" w:lineRule="exact"/>
      </w:pPr>
      <w:r>
        <w:t>独立两镜头样例已在 Windows 剪映专业版 11.5.0.14471 由用户确认：可打开、字幕和音轨可编辑、保存后重开正常。该结果覆盖样例中的基础视频、字幕与分轨声音；其他版本和不同媒体仍需逐项目验收。</w:t>
      </w:r>
    </w:p>
    <w:p>
      <w:pPr>
        <w:snapToGrid w:val="0"/>
        <w:spacing w:line="340" w:lineRule="exact"/>
      </w:pPr>
      <w:r>
        <w:t>当前字幕依赖提供并核对的时码，不含自动语音识别；声音分轨不等于人声分离。自动音色替换、口型修复、自动静音裁剪和复杂本地特效不属于本版交付能力。</w:t>
      </w:r>
    </w:p>
    <w:p>
      <w:pPr>
        <w:snapToGrid w:val="0"/>
      </w:pPr>
      <w:r>
        <w:br w:type="page"/>
      </w:r>
    </w:p>
    <w:p>
      <w:pPr>
        <w:snapToGrid w:val="0"/>
        <w:spacing w:line="340" w:lineRule="exact"/>
      </w:pPr>
      <w:r>
        <w:rPr>
          <w:color w:val="65747C"/>
          <w:sz w:val="18"/>
        </w:rPr>
        <w:t>06  灵创智影影视全流程</w:t>
      </w:r>
    </w:p>
    <w:p>
      <w:pPr>
        <w:pStyle w:val="Heading1"/>
        <w:snapToGrid w:val="0"/>
      </w:pPr>
      <w:r>
        <w:t>首次启动与接续项目</w:t>
      </w:r>
    </w:p>
    <w:p>
      <w:pPr>
        <w:snapToGrid w:val="0"/>
        <w:spacing w:line="340" w:lineRule="exact"/>
      </w:pPr>
      <w:r>
        <w:t>建议先用一个短片段完成报价、生成、验收和剪映交付，熟悉流程后再扩展到完整作品。</w:t>
      </w:r>
    </w:p>
    <w:p>
      <w:pPr>
        <w:pStyle w:val="Heading2"/>
        <w:snapToGrid w:val="0"/>
      </w:pPr>
      <w:r>
        <w:t>开始前准备四项内容</w:t>
      </w:r>
    </w:p>
    <w:p>
      <w:pPr>
        <w:snapToGrid w:val="0"/>
        <w:spacing w:line="340" w:lineRule="exact"/>
      </w:pPr>
      <w:r>
        <w:t>① Windows 与可用的 Codex；② 剪映专业版；③ 灵创智影会员账号、自己的 API Key 和可用积分；④ 独立的本地作品目录，存放脚本、参考图与授权明确的素材。</w:t>
      </w:r>
    </w:p>
    <w:p>
      <w:pPr>
        <w:pStyle w:val="Heading2"/>
        <w:snapToGrid w:val="0"/>
      </w:pPr>
      <w:r>
        <w:t>安装并检查环境</w:t>
      </w:r>
    </w:p>
    <w:p>
      <w:pPr>
        <w:snapToGrid w:val="0"/>
        <w:spacing w:line="340" w:lineRule="exact"/>
      </w:pPr>
      <w:r>
        <w:t>解压交付 ZIP，按《安装与启动说明.md》运行 install.ps1，完成 Python 依赖安装与环境检查。安装器遇到已有技能目录会停止，升级前先备份旧技能；不要删除作品中的 .film、.lczyai 和 outputs。三个内部模块已随包提供，无需分别安装。</w:t>
      </w:r>
    </w:p>
    <w:p>
      <w:pPr>
        <w:snapToGrid w:val="0"/>
        <w:spacing w:line="340" w:lineRule="exact"/>
      </w:pPr>
      <w:r>
        <w:t>API Key 只保存在本机环境变量 LCZYAI_API_KEY，不写进对话、脚本、项目清单或交付 ZIP。包内不含供应商密钥。</w:t>
      </w:r>
    </w:p>
    <w:p>
      <w:pPr>
        <w:pStyle w:val="Heading2"/>
        <w:snapToGrid w:val="0"/>
      </w:pPr>
      <w:r>
        <w:t>复制这段话开始制作</w:t>
      </w:r>
    </w:p>
    <w:p>
      <w:pPr>
        <w:spacing w:line="340" w:lineRule="exact"/>
        <w:ind w:left="259"/>
        <w:snapToGrid w:val="0"/>
      </w:pPr>
      <w:r>
        <w:t>使用 $lingchuang-film。我选择商业路线，请先读取当前项目的脚本和资产，只补缺项。按标准方案列出下一阶段的制作计划、模型与费用，等我确认后再生成。同一作品复用一个画布，最后只把我确认采用的版本交付 Windows 剪映。</w:t>
      </w:r>
    </w:p>
    <w:p>
      <w:pPr>
        <w:snapToGrid w:val="0"/>
        <w:spacing w:line="340" w:lineRule="exact"/>
      </w:pPr>
      <w:r>
        <w:t>制作短剧时，将“商业路线”改为“短剧路线”；已有脚本可以直接要求核对分镜。需要动作白膜时，说明参考文件，并要求先报价、确认后转换。</w:t>
      </w:r>
    </w:p>
    <w:p>
      <w:pPr>
        <w:pStyle w:val="Heading2"/>
        <w:snapToGrid w:val="0"/>
      </w:pPr>
      <w:r>
        <w:t>接续任务和处理报价过期</w:t>
      </w:r>
    </w:p>
    <w:p>
      <w:pPr>
        <w:snapToGrid w:val="0"/>
        <w:spacing w:line="340" w:lineRule="exact"/>
      </w:pPr>
      <w:r>
        <w:t>继续旧项目时可说：“读取这个项目的阶段记录，核对正在执行的任务与待验收素材，继续下一步，不重复生成。”报价失效后展示新报价，再确认费用。提交结果不明时，先恢复或核对原任务，不能新建阶段绕过。</w:t>
      </w:r>
    </w:p>
    <w:p>
      <w:pPr>
        <w:pStyle w:val="Heading2"/>
        <w:snapToGrid w:val="0"/>
      </w:pPr>
      <w:r>
        <w:t>使用中最重要的三个确认</w:t>
      </w:r>
    </w:p>
    <w:p>
      <w:pPr>
        <w:snapToGrid w:val="0"/>
        <w:spacing w:line="340" w:lineRule="exact"/>
      </w:pPr>
      <w:r>
        <w:t>确认制作方案：内容、模型与素材是否正确。确认费用：有效报价与预扣上限是否接受。确认作品：生成结果、采用版本和最终成片是否达标。三类确认互不替代。</w:t>
      </w:r>
    </w:p>
    <w:p>
      <w:pPr>
        <w:snapToGrid w:val="0"/>
        <w:spacing w:line="340" w:lineRule="exact"/>
      </w:pPr>
      <w:r>
        <w:t>版本说明：v0.1.2 为入口和交付文档整理版，生产脚本沿用 v0.1.1，保持历史项目兼容。真实生成效果取决于输入素材、模型及任务要求；运行时会员目录与有效报价优先。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47C"/>
        <w:sz w:val="16"/>
      </w:rPr>
      <w:t xml:space="preserve">灵创智影  |  学员交付说明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140"/>
      <w:snapToGrid w:val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 w:line="288" w:lineRule="auto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 w:line="288" w:lineRule="auto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88" w:lineRule="auto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88" w:lineRule="auto" w:before="0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before="0" w:after="180"/>
      <w:snapToGrid w:val="0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灵创智影影视全流程学员使用与交付说明</dc:title>
  <dc:subject>Windows 剪映专业版学员交付说明</dc:subject>
  <dc:creator>灵创智影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