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DE70FB">
        <w:rPr>
          <w:b/>
          <w:bCs/>
          <w:sz w:val="36"/>
          <w:szCs w:val="36"/>
        </w:rPr>
        <w:t>7</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4D2958" w:rsidRDefault="009A32E5" w:rsidP="00B5098D">
      <w:pPr>
        <w:pStyle w:val="NormalWeb"/>
        <w:numPr>
          <w:ilvl w:val="0"/>
          <w:numId w:val="1"/>
        </w:numPr>
      </w:pPr>
      <w:r>
        <w:t>Three Level ANSI-SPARC Architecture</w:t>
      </w:r>
    </w:p>
    <w:p w:rsidR="009A32E5" w:rsidRDefault="009A32E5" w:rsidP="00B5098D">
      <w:pPr>
        <w:pStyle w:val="NormalWeb"/>
        <w:numPr>
          <w:ilvl w:val="1"/>
          <w:numId w:val="1"/>
        </w:numPr>
      </w:pPr>
      <w:r>
        <w:t>External level</w:t>
      </w:r>
    </w:p>
    <w:p w:rsidR="009A32E5" w:rsidRDefault="009A32E5" w:rsidP="00B5098D">
      <w:pPr>
        <w:pStyle w:val="NormalWeb"/>
        <w:numPr>
          <w:ilvl w:val="1"/>
          <w:numId w:val="1"/>
        </w:numPr>
      </w:pPr>
      <w:r>
        <w:t>Conceptual Level</w:t>
      </w:r>
    </w:p>
    <w:p w:rsidR="009A32E5" w:rsidRDefault="009A32E5" w:rsidP="00B5098D">
      <w:pPr>
        <w:pStyle w:val="NormalWeb"/>
        <w:numPr>
          <w:ilvl w:val="1"/>
          <w:numId w:val="1"/>
        </w:numPr>
      </w:pPr>
      <w:r>
        <w:t>Internal Level</w:t>
      </w:r>
    </w:p>
    <w:p w:rsidR="009A32E5" w:rsidRDefault="009A32E5" w:rsidP="009A32E5">
      <w:pPr>
        <w:pStyle w:val="NormalWeb"/>
      </w:pPr>
      <w:r>
        <w:t>Three level architecture provides a base for understanding some of the functionality of a DBMS.</w:t>
      </w:r>
    </w:p>
    <w:p w:rsidR="009A32E5" w:rsidRDefault="009A32E5" w:rsidP="009A32E5">
      <w:pPr>
        <w:pStyle w:val="NormalWeb"/>
        <w:ind w:left="720"/>
      </w:pPr>
      <w:r>
        <w:t xml:space="preserve">This architecture is used to show and describe the data at three distinct levels. </w:t>
      </w:r>
    </w:p>
    <w:p w:rsidR="009A32E5" w:rsidRPr="008744C3" w:rsidRDefault="009A32E5" w:rsidP="009A32E5">
      <w:pPr>
        <w:pStyle w:val="NormalWeb"/>
        <w:rPr>
          <w:b/>
        </w:rPr>
      </w:pPr>
      <w:r w:rsidRPr="008744C3">
        <w:rPr>
          <w:b/>
        </w:rPr>
        <w:t>External Level</w:t>
      </w:r>
    </w:p>
    <w:p w:rsidR="009A32E5" w:rsidRDefault="009A32E5" w:rsidP="009A32E5">
      <w:pPr>
        <w:pStyle w:val="NormalWeb"/>
      </w:pPr>
      <w:r>
        <w:t xml:space="preserve">The </w:t>
      </w:r>
      <w:r w:rsidR="005F336B">
        <w:t>way</w:t>
      </w:r>
      <w:r>
        <w:t xml:space="preserve"> user perceive</w:t>
      </w:r>
      <w:r w:rsidR="005F336B">
        <w:t>s</w:t>
      </w:r>
      <w:r>
        <w:t xml:space="preserve"> the data is called the external level.</w:t>
      </w:r>
    </w:p>
    <w:p w:rsidR="009A32E5" w:rsidRDefault="009A32E5" w:rsidP="00B5098D">
      <w:pPr>
        <w:pStyle w:val="NormalWeb"/>
        <w:numPr>
          <w:ilvl w:val="0"/>
          <w:numId w:val="2"/>
        </w:numPr>
      </w:pPr>
      <w:r>
        <w:t xml:space="preserve">This </w:t>
      </w:r>
      <w:r w:rsidR="005F336B">
        <w:t xml:space="preserve">level describes that which part of database is relevant to whom user. </w:t>
      </w:r>
    </w:p>
    <w:p w:rsidR="005F336B" w:rsidRDefault="005F336B" w:rsidP="00B5098D">
      <w:pPr>
        <w:pStyle w:val="NormalWeb"/>
        <w:numPr>
          <w:ilvl w:val="0"/>
          <w:numId w:val="2"/>
        </w:numPr>
      </w:pPr>
      <w:r>
        <w:t>Consist of a number of different external views</w:t>
      </w:r>
    </w:p>
    <w:p w:rsidR="005F336B" w:rsidRDefault="005F336B" w:rsidP="00B5098D">
      <w:pPr>
        <w:pStyle w:val="NormalWeb"/>
        <w:numPr>
          <w:ilvl w:val="0"/>
          <w:numId w:val="2"/>
        </w:numPr>
      </w:pPr>
      <w:r>
        <w:t>View consists of only those attributes, which are of interest of user.</w:t>
      </w:r>
    </w:p>
    <w:p w:rsidR="005F336B" w:rsidRDefault="005F336B" w:rsidP="00B5098D">
      <w:pPr>
        <w:pStyle w:val="NormalWeb"/>
        <w:numPr>
          <w:ilvl w:val="1"/>
          <w:numId w:val="2"/>
        </w:numPr>
      </w:pPr>
      <w:r>
        <w:t>Remaining will be in database but particular user will be unaware of those.</w:t>
      </w:r>
    </w:p>
    <w:p w:rsidR="005F336B" w:rsidRDefault="005F336B" w:rsidP="00B5098D">
      <w:pPr>
        <w:pStyle w:val="NormalWeb"/>
        <w:numPr>
          <w:ilvl w:val="0"/>
          <w:numId w:val="2"/>
        </w:numPr>
      </w:pPr>
      <w:r>
        <w:t>Different views have different representations of same data. e.g. date of birth, age, etc.</w:t>
      </w:r>
    </w:p>
    <w:p w:rsidR="005F336B" w:rsidRDefault="005F336B" w:rsidP="00B5098D">
      <w:pPr>
        <w:pStyle w:val="NormalWeb"/>
        <w:numPr>
          <w:ilvl w:val="0"/>
          <w:numId w:val="2"/>
        </w:numPr>
      </w:pPr>
      <w:r>
        <w:t>Calculated data, e.g. total salary from commission and gross salary.</w:t>
      </w:r>
    </w:p>
    <w:p w:rsidR="008744C3" w:rsidRDefault="008744C3" w:rsidP="008744C3">
      <w:pPr>
        <w:pStyle w:val="NormalWeb"/>
        <w:rPr>
          <w:b/>
        </w:rPr>
      </w:pPr>
      <w:r>
        <w:rPr>
          <w:b/>
        </w:rPr>
        <w:t>Conceptual</w:t>
      </w:r>
      <w:r w:rsidRPr="008744C3">
        <w:rPr>
          <w:b/>
        </w:rPr>
        <w:t xml:space="preserve"> Level</w:t>
      </w:r>
    </w:p>
    <w:p w:rsidR="008744C3" w:rsidRDefault="008744C3" w:rsidP="008744C3">
      <w:pPr>
        <w:pStyle w:val="NormalWeb"/>
      </w:pPr>
      <w:r>
        <w:t>Provides mapping and the desired independence between external and internal level.</w:t>
      </w:r>
    </w:p>
    <w:p w:rsidR="008744C3" w:rsidRDefault="008744C3" w:rsidP="00B5098D">
      <w:pPr>
        <w:pStyle w:val="NormalWeb"/>
        <w:numPr>
          <w:ilvl w:val="0"/>
          <w:numId w:val="3"/>
        </w:numPr>
      </w:pPr>
      <w:r>
        <w:t>This level describes what data is stored in the database and the relationship among data.</w:t>
      </w:r>
    </w:p>
    <w:p w:rsidR="008744C3" w:rsidRDefault="008744C3" w:rsidP="00B5098D">
      <w:pPr>
        <w:pStyle w:val="NormalWeb"/>
        <w:numPr>
          <w:ilvl w:val="0"/>
          <w:numId w:val="3"/>
        </w:numPr>
      </w:pPr>
      <w:r>
        <w:t>Logical structure of the database</w:t>
      </w:r>
    </w:p>
    <w:p w:rsidR="008744C3" w:rsidRDefault="008744C3" w:rsidP="00B5098D">
      <w:pPr>
        <w:pStyle w:val="NormalWeb"/>
        <w:numPr>
          <w:ilvl w:val="0"/>
          <w:numId w:val="3"/>
        </w:numPr>
      </w:pPr>
      <w:r>
        <w:t>Complete view of the data requirements of the organization that is independent of any storage consideration.</w:t>
      </w:r>
    </w:p>
    <w:p w:rsidR="008744C3" w:rsidRDefault="008744C3" w:rsidP="00B5098D">
      <w:pPr>
        <w:pStyle w:val="NormalWeb"/>
        <w:numPr>
          <w:ilvl w:val="1"/>
          <w:numId w:val="3"/>
        </w:numPr>
      </w:pPr>
      <w:r>
        <w:t>Entities, attributes and their relationships.</w:t>
      </w:r>
    </w:p>
    <w:p w:rsidR="008744C3" w:rsidRDefault="008744C3" w:rsidP="00B5098D">
      <w:pPr>
        <w:pStyle w:val="NormalWeb"/>
        <w:numPr>
          <w:ilvl w:val="1"/>
          <w:numId w:val="3"/>
        </w:numPr>
      </w:pPr>
      <w:r>
        <w:t>Constraints on data</w:t>
      </w:r>
    </w:p>
    <w:p w:rsidR="008744C3" w:rsidRDefault="008744C3" w:rsidP="00B5098D">
      <w:pPr>
        <w:pStyle w:val="NormalWeb"/>
        <w:numPr>
          <w:ilvl w:val="1"/>
          <w:numId w:val="3"/>
        </w:numPr>
      </w:pPr>
      <w:r>
        <w:t>Security information</w:t>
      </w:r>
    </w:p>
    <w:p w:rsidR="008744C3" w:rsidRDefault="008744C3" w:rsidP="008744C3">
      <w:pPr>
        <w:pStyle w:val="NormalWeb"/>
        <w:rPr>
          <w:b/>
        </w:rPr>
      </w:pPr>
      <w:r>
        <w:rPr>
          <w:b/>
        </w:rPr>
        <w:t>Int</w:t>
      </w:r>
      <w:r w:rsidRPr="008744C3">
        <w:rPr>
          <w:b/>
        </w:rPr>
        <w:t>ernal Level</w:t>
      </w:r>
    </w:p>
    <w:p w:rsidR="008744C3" w:rsidRDefault="008744C3" w:rsidP="008744C3">
      <w:pPr>
        <w:pStyle w:val="NormalWeb"/>
      </w:pPr>
      <w:r>
        <w:t xml:space="preserve">The physical representation of the database on the computer. </w:t>
      </w:r>
    </w:p>
    <w:p w:rsidR="008744C3" w:rsidRDefault="008744C3" w:rsidP="008744C3">
      <w:pPr>
        <w:pStyle w:val="NormalWeb"/>
      </w:pPr>
      <w:r>
        <w:t>Describes how the data is stored in the database</w:t>
      </w:r>
    </w:p>
    <w:p w:rsidR="008744C3" w:rsidRDefault="008744C3" w:rsidP="00B5098D">
      <w:pPr>
        <w:pStyle w:val="NormalWeb"/>
        <w:numPr>
          <w:ilvl w:val="0"/>
          <w:numId w:val="4"/>
        </w:numPr>
      </w:pPr>
      <w:r>
        <w:t>Data structures and file organizations on storage devices</w:t>
      </w:r>
    </w:p>
    <w:p w:rsidR="00D72066" w:rsidRDefault="00D72066" w:rsidP="00D72066">
      <w:pPr>
        <w:pStyle w:val="NormalWeb"/>
      </w:pPr>
      <w:r>
        <w:t>Graphical representation of three level architecture is given in figure below</w:t>
      </w:r>
    </w:p>
    <w:p w:rsidR="00D51C7B" w:rsidRDefault="00D51C7B" w:rsidP="00D72066">
      <w:pPr>
        <w:pStyle w:val="NormalWeb"/>
      </w:pPr>
      <w:r>
        <w:rPr>
          <w:noProof/>
        </w:rPr>
        <w:lastRenderedPageBreak/>
        <w:pict>
          <v:rect id="_x0000_s1040" style="position:absolute;margin-left:-19.5pt;margin-top:249.9pt;width:357pt;height:21pt;z-index:251661312" strokecolor="white [3212]"/>
        </w:pict>
      </w:r>
      <w:r>
        <w:rPr>
          <w:noProof/>
        </w:rPr>
        <w:pict>
          <v:rect id="_x0000_s1039" style="position:absolute;margin-left:-11.25pt;margin-top:49.65pt;width:51pt;height:231.75pt;z-index:251660288" strokecolor="white [3212]"/>
        </w:pict>
      </w:r>
      <w:r>
        <w:rPr>
          <w:noProof/>
        </w:rPr>
        <w:pict>
          <v:rect id="_x0000_s1038" style="position:absolute;margin-left:279.75pt;margin-top:49.65pt;width:105pt;height:221.25pt;z-index:251659264" strokecolor="white [3212]"/>
        </w:pict>
      </w:r>
      <w:r>
        <w:rPr>
          <w:noProof/>
        </w:rPr>
        <w:pict>
          <v:rect id="_x0000_s1037" style="position:absolute;margin-left:-2.25pt;margin-top:-4.35pt;width:365.25pt;height:63pt;z-index:251658240" strokecolor="white [3212]"/>
        </w:pict>
      </w:r>
      <w:r w:rsidRPr="00D51C7B">
        <w:object w:dxaOrig="7166"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269.25pt" o:ole="">
            <v:imagedata r:id="rId8" o:title=""/>
          </v:shape>
          <o:OLEObject Type="Embed" ProgID="PowerPoint.Slide.12" ShapeID="_x0000_i1025" DrawAspect="Content" ObjectID="_1394462685" r:id="rId9"/>
        </w:object>
      </w:r>
    </w:p>
    <w:p w:rsidR="00D51C7B" w:rsidRDefault="00D51C7B" w:rsidP="00D72066">
      <w:pPr>
        <w:pStyle w:val="NormalWeb"/>
      </w:pPr>
      <w:r>
        <w:t>Objective of three Level Architecture</w:t>
      </w:r>
    </w:p>
    <w:p w:rsidR="00D51C7B" w:rsidRDefault="00D51C7B" w:rsidP="00D72066">
      <w:pPr>
        <w:pStyle w:val="NormalWeb"/>
      </w:pPr>
      <w:r>
        <w:t>The objective of the three-level architecture is to separate each user’s view of the database from the way the database is physically represented. There are several reasons why this separation is desirable:</w:t>
      </w:r>
    </w:p>
    <w:p w:rsidR="00D51C7B" w:rsidRDefault="00D51C7B" w:rsidP="00B5098D">
      <w:pPr>
        <w:pStyle w:val="NormalWeb"/>
        <w:numPr>
          <w:ilvl w:val="0"/>
          <w:numId w:val="4"/>
        </w:numPr>
      </w:pPr>
      <w:r>
        <w:t>End user should be able to access the same data, but hava different customized view of the data. Each user should be able to change the way he or she views the data, and this change should not affect other users.</w:t>
      </w:r>
    </w:p>
    <w:p w:rsidR="00D51C7B" w:rsidRDefault="00D51C7B" w:rsidP="00B5098D">
      <w:pPr>
        <w:pStyle w:val="NormalWeb"/>
        <w:numPr>
          <w:ilvl w:val="0"/>
          <w:numId w:val="4"/>
        </w:numPr>
      </w:pPr>
      <w:r>
        <w:t xml:space="preserve">Users should not have to deal directly with physical database storage details, such as indexing or hashing. In other words, a user’s interaction with the database should be independent of storage considerations. </w:t>
      </w:r>
    </w:p>
    <w:p w:rsidR="00D51C7B" w:rsidRDefault="00D51C7B" w:rsidP="00B5098D">
      <w:pPr>
        <w:pStyle w:val="NormalWeb"/>
        <w:numPr>
          <w:ilvl w:val="0"/>
          <w:numId w:val="4"/>
        </w:numPr>
      </w:pPr>
      <w:r>
        <w:t xml:space="preserve">The database </w:t>
      </w:r>
      <w:r w:rsidR="00EE7D99">
        <w:t>administrator (DBA)</w:t>
      </w:r>
      <w:r>
        <w:t xml:space="preserve"> should be able to change the database storage structures without affecting the user’s views. </w:t>
      </w:r>
    </w:p>
    <w:p w:rsidR="00D51C7B" w:rsidRDefault="00D51C7B" w:rsidP="00B5098D">
      <w:pPr>
        <w:pStyle w:val="NormalWeb"/>
        <w:numPr>
          <w:ilvl w:val="0"/>
          <w:numId w:val="4"/>
        </w:numPr>
      </w:pPr>
      <w:r>
        <w:t xml:space="preserve">The internal </w:t>
      </w:r>
      <w:r w:rsidR="00EE7D99">
        <w:t>structure</w:t>
      </w:r>
      <w:r>
        <w:t xml:space="preserve"> of the database should be unaffected by changes to the physical aspects of storage, such as the changeover to a new storage device.</w:t>
      </w:r>
    </w:p>
    <w:p w:rsidR="00D51C7B" w:rsidRPr="008744C3" w:rsidRDefault="00D51C7B" w:rsidP="00B5098D">
      <w:pPr>
        <w:pStyle w:val="NormalWeb"/>
        <w:numPr>
          <w:ilvl w:val="0"/>
          <w:numId w:val="4"/>
        </w:numPr>
      </w:pPr>
      <w:r>
        <w:t>The DBA should be able to change the conceptual structure of the database without affecting all users.</w:t>
      </w:r>
    </w:p>
    <w:p w:rsidR="008744C3" w:rsidRDefault="002D797F" w:rsidP="002D797F">
      <w:pPr>
        <w:pStyle w:val="NormalWeb"/>
      </w:pPr>
      <w:r>
        <w:t xml:space="preserve">From the above discussion we can conclude that the main objective is to achieve the data </w:t>
      </w:r>
      <w:r w:rsidR="00A02D4B">
        <w:t>independence which means upper levels are unaffected by changes to lower level.</w:t>
      </w:r>
    </w:p>
    <w:p w:rsidR="00A02D4B" w:rsidRDefault="00A02D4B" w:rsidP="002D797F">
      <w:pPr>
        <w:pStyle w:val="NormalWeb"/>
      </w:pPr>
      <w:r>
        <w:t>Achieved independence can be categorized into following way</w:t>
      </w:r>
    </w:p>
    <w:p w:rsidR="00A02D4B" w:rsidRDefault="00A02D4B" w:rsidP="00B5098D">
      <w:pPr>
        <w:pStyle w:val="NormalWeb"/>
        <w:numPr>
          <w:ilvl w:val="0"/>
          <w:numId w:val="5"/>
        </w:numPr>
      </w:pPr>
      <w:r>
        <w:t xml:space="preserve">Logical Data Independence </w:t>
      </w:r>
    </w:p>
    <w:p w:rsidR="00A02D4B" w:rsidRDefault="00A02D4B" w:rsidP="00B5098D">
      <w:pPr>
        <w:pStyle w:val="NormalWeb"/>
        <w:numPr>
          <w:ilvl w:val="0"/>
          <w:numId w:val="5"/>
        </w:numPr>
      </w:pPr>
      <w:r>
        <w:t>Physical Data Independence</w:t>
      </w:r>
    </w:p>
    <w:p w:rsidR="00A615BE" w:rsidRPr="00A615BE" w:rsidRDefault="00A615BE" w:rsidP="00A615BE">
      <w:pPr>
        <w:pStyle w:val="NormalWeb"/>
        <w:rPr>
          <w:b/>
        </w:rPr>
      </w:pPr>
      <w:r w:rsidRPr="00A615BE">
        <w:rPr>
          <w:b/>
        </w:rPr>
        <w:t xml:space="preserve">Logical Data Independence </w:t>
      </w:r>
    </w:p>
    <w:p w:rsidR="00A615BE" w:rsidRDefault="00A615BE" w:rsidP="00A615BE">
      <w:pPr>
        <w:pStyle w:val="NormalWeb"/>
      </w:pPr>
      <w:r>
        <w:t>Refers to the immunity of the external schemas to changes in the conceptual schema.</w:t>
      </w:r>
    </w:p>
    <w:p w:rsidR="00A615BE" w:rsidRDefault="00A615BE" w:rsidP="00B5098D">
      <w:pPr>
        <w:pStyle w:val="NormalWeb"/>
        <w:numPr>
          <w:ilvl w:val="0"/>
          <w:numId w:val="6"/>
        </w:numPr>
      </w:pPr>
      <w:r>
        <w:lastRenderedPageBreak/>
        <w:t>Changes in conceptual schema only effect the user for whom the changes have been made</w:t>
      </w:r>
    </w:p>
    <w:p w:rsidR="00A615BE" w:rsidRPr="008744C3" w:rsidRDefault="00A615BE" w:rsidP="00B5098D">
      <w:pPr>
        <w:pStyle w:val="NormalWeb"/>
        <w:numPr>
          <w:ilvl w:val="1"/>
          <w:numId w:val="6"/>
        </w:numPr>
      </w:pPr>
      <w:r>
        <w:t>Other users should not be</w:t>
      </w:r>
    </w:p>
    <w:p w:rsidR="009A6608" w:rsidRPr="00A615BE" w:rsidRDefault="009A6608" w:rsidP="009A6608">
      <w:pPr>
        <w:pStyle w:val="NormalWeb"/>
        <w:rPr>
          <w:b/>
        </w:rPr>
      </w:pPr>
      <w:r>
        <w:rPr>
          <w:b/>
        </w:rPr>
        <w:t>Physical</w:t>
      </w:r>
      <w:r w:rsidRPr="00A615BE">
        <w:rPr>
          <w:b/>
        </w:rPr>
        <w:t xml:space="preserve"> Data Independence </w:t>
      </w:r>
    </w:p>
    <w:p w:rsidR="009A6608" w:rsidRDefault="009A6608" w:rsidP="009A6608">
      <w:pPr>
        <w:pStyle w:val="NormalWeb"/>
      </w:pPr>
      <w:r>
        <w:t>Refers to the immunity of the conceptual schemas to changes in the internal schema.</w:t>
      </w:r>
    </w:p>
    <w:p w:rsidR="009A6608" w:rsidRDefault="009A6608" w:rsidP="00B5098D">
      <w:pPr>
        <w:pStyle w:val="NormalWeb"/>
        <w:numPr>
          <w:ilvl w:val="0"/>
          <w:numId w:val="6"/>
        </w:numPr>
      </w:pPr>
      <w:r>
        <w:t>Changes in internal schema such as using different file organizations will not affect external schema.</w:t>
      </w:r>
    </w:p>
    <w:p w:rsidR="009A6608" w:rsidRDefault="009A6608" w:rsidP="00B5098D">
      <w:pPr>
        <w:pStyle w:val="NormalWeb"/>
        <w:numPr>
          <w:ilvl w:val="1"/>
          <w:numId w:val="6"/>
        </w:numPr>
      </w:pPr>
      <w:r>
        <w:t>Storage structures.</w:t>
      </w:r>
    </w:p>
    <w:p w:rsidR="009A6608" w:rsidRDefault="009A6608" w:rsidP="00B5098D">
      <w:pPr>
        <w:pStyle w:val="NormalWeb"/>
        <w:numPr>
          <w:ilvl w:val="1"/>
          <w:numId w:val="6"/>
        </w:numPr>
      </w:pPr>
      <w:r>
        <w:t>Different storage devices.</w:t>
      </w:r>
    </w:p>
    <w:p w:rsidR="00537B36" w:rsidRDefault="00537B36" w:rsidP="00537B36">
      <w:pPr>
        <w:pStyle w:val="NormalWeb"/>
      </w:pPr>
      <w:r>
        <w:t>Pictorial representation for the independence is given in figure below</w:t>
      </w:r>
    </w:p>
    <w:p w:rsidR="00537B36" w:rsidRPr="008744C3" w:rsidRDefault="00537B36" w:rsidP="00537B36">
      <w:pPr>
        <w:pStyle w:val="NormalWeb"/>
      </w:pPr>
      <w:r w:rsidRPr="00537B36">
        <w:drawing>
          <wp:inline distT="0" distB="0" distL="0" distR="0">
            <wp:extent cx="5733415" cy="2943276"/>
            <wp:effectExtent l="19050" t="0" r="635" b="0"/>
            <wp:docPr id="1" name="Picture 1" descr="C02NF03"/>
            <wp:cNvGraphicFramePr/>
            <a:graphic xmlns:a="http://schemas.openxmlformats.org/drawingml/2006/main">
              <a:graphicData uri="http://schemas.openxmlformats.org/drawingml/2006/picture">
                <pic:pic xmlns:pic="http://schemas.openxmlformats.org/drawingml/2006/picture">
                  <pic:nvPicPr>
                    <pic:cNvPr id="41990" name="Picture 6" descr="C02NF03"/>
                    <pic:cNvPicPr>
                      <a:picLocks noChangeAspect="1" noChangeArrowheads="1"/>
                    </pic:cNvPicPr>
                  </pic:nvPicPr>
                  <pic:blipFill>
                    <a:blip r:embed="rId10"/>
                    <a:srcRect/>
                    <a:stretch>
                      <a:fillRect/>
                    </a:stretch>
                  </pic:blipFill>
                  <pic:spPr bwMode="auto">
                    <a:xfrm>
                      <a:off x="0" y="0"/>
                      <a:ext cx="5733415" cy="2943276"/>
                    </a:xfrm>
                    <a:prstGeom prst="rect">
                      <a:avLst/>
                    </a:prstGeom>
                    <a:noFill/>
                    <a:ln w="9525">
                      <a:noFill/>
                      <a:miter lim="800000"/>
                      <a:headEnd/>
                      <a:tailEnd/>
                    </a:ln>
                    <a:effectLst/>
                  </pic:spPr>
                </pic:pic>
              </a:graphicData>
            </a:graphic>
          </wp:inline>
        </w:drawing>
      </w:r>
    </w:p>
    <w:p w:rsidR="008744C3" w:rsidRDefault="008744C3" w:rsidP="008744C3">
      <w:pPr>
        <w:pStyle w:val="NormalWeb"/>
      </w:pPr>
    </w:p>
    <w:sectPr w:rsidR="008744C3" w:rsidSect="00B71DF2">
      <w:headerReference w:type="even" r:id="rId11"/>
      <w:headerReference w:type="default" r:id="rId12"/>
      <w:footerReference w:type="even" r:id="rId13"/>
      <w:footerReference w:type="default" r:id="rId14"/>
      <w:headerReference w:type="first" r:id="rId15"/>
      <w:footerReference w:type="first" r:id="rId16"/>
      <w:pgSz w:w="11909" w:h="16834" w:code="9"/>
      <w:pgMar w:top="1152" w:right="1440"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98D" w:rsidRDefault="00B5098D">
      <w:r>
        <w:separator/>
      </w:r>
    </w:p>
  </w:endnote>
  <w:endnote w:type="continuationSeparator" w:id="1">
    <w:p w:rsidR="00B5098D" w:rsidRDefault="00B509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B" w:rsidRDefault="00DE70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B" w:rsidRDefault="00DE70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B" w:rsidRDefault="00DE70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98D" w:rsidRDefault="00B5098D">
      <w:r>
        <w:separator/>
      </w:r>
    </w:p>
  </w:footnote>
  <w:footnote w:type="continuationSeparator" w:id="1">
    <w:p w:rsidR="00B5098D" w:rsidRDefault="00B509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B" w:rsidRDefault="00DE70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56D" w:rsidRPr="0048756D" w:rsidRDefault="00C404BE" w:rsidP="0048756D">
    <w:pPr>
      <w:pStyle w:val="Header"/>
      <w:pBdr>
        <w:bottom w:val="single" w:sz="4" w:space="1" w:color="auto"/>
      </w:pBdr>
      <w:tabs>
        <w:tab w:val="clear" w:pos="8640"/>
        <w:tab w:val="right" w:pos="9000"/>
      </w:tabs>
      <w:rPr>
        <w:sz w:val="18"/>
        <w:szCs w:val="18"/>
      </w:rPr>
    </w:pPr>
    <w:r>
      <w:rPr>
        <w:sz w:val="18"/>
        <w:szCs w:val="18"/>
      </w:rPr>
      <w:t>MA</w:t>
    </w:r>
    <w:r w:rsidR="0048756D" w:rsidRPr="0048756D">
      <w:rPr>
        <w:sz w:val="18"/>
        <w:szCs w:val="18"/>
      </w:rPr>
      <w:t>/Handout</w:t>
    </w:r>
    <w:r w:rsidR="00A51DFE">
      <w:rPr>
        <w:sz w:val="18"/>
        <w:szCs w:val="18"/>
      </w:rPr>
      <w:t xml:space="preserve"> </w:t>
    </w:r>
    <w:r w:rsidR="00DE70FB">
      <w:rPr>
        <w:sz w:val="18"/>
        <w:szCs w:val="18"/>
      </w:rPr>
      <w:t>7</w:t>
    </w:r>
    <w:r w:rsidR="0048756D" w:rsidRPr="0048756D">
      <w:rPr>
        <w:sz w:val="18"/>
        <w:szCs w:val="18"/>
      </w:rPr>
      <w:tab/>
      <w:t>-</w:t>
    </w:r>
    <w:r w:rsidR="00B66FA0" w:rsidRPr="0048756D">
      <w:rPr>
        <w:rStyle w:val="PageNumber"/>
        <w:sz w:val="18"/>
        <w:szCs w:val="18"/>
      </w:rPr>
      <w:fldChar w:fldCharType="begin"/>
    </w:r>
    <w:r w:rsidR="0048756D" w:rsidRPr="0048756D">
      <w:rPr>
        <w:rStyle w:val="PageNumber"/>
        <w:sz w:val="18"/>
        <w:szCs w:val="18"/>
      </w:rPr>
      <w:instrText xml:space="preserve"> PAGE </w:instrText>
    </w:r>
    <w:r w:rsidR="00B66FA0" w:rsidRPr="0048756D">
      <w:rPr>
        <w:rStyle w:val="PageNumber"/>
        <w:sz w:val="18"/>
        <w:szCs w:val="18"/>
      </w:rPr>
      <w:fldChar w:fldCharType="separate"/>
    </w:r>
    <w:r w:rsidR="00DE70FB">
      <w:rPr>
        <w:rStyle w:val="PageNumber"/>
        <w:noProof/>
        <w:sz w:val="18"/>
        <w:szCs w:val="18"/>
      </w:rPr>
      <w:t>1</w:t>
    </w:r>
    <w:r w:rsidR="00B66FA0" w:rsidRPr="0048756D">
      <w:rPr>
        <w:rStyle w:val="PageNumber"/>
        <w:sz w:val="18"/>
        <w:szCs w:val="18"/>
      </w:rPr>
      <w:fldChar w:fldCharType="end"/>
    </w:r>
    <w:r w:rsidR="0048756D" w:rsidRPr="0048756D">
      <w:rPr>
        <w:rStyle w:val="PageNumber"/>
        <w:sz w:val="18"/>
        <w:szCs w:val="18"/>
      </w:rPr>
      <w:t>-</w:t>
    </w:r>
    <w:r w:rsidR="0048756D" w:rsidRPr="0048756D">
      <w:rPr>
        <w:rStyle w:val="PageNumber"/>
        <w:sz w:val="18"/>
        <w:szCs w:val="18"/>
      </w:rPr>
      <w:tab/>
    </w:r>
    <w:r w:rsidR="005411A7">
      <w:rPr>
        <w:rStyle w:val="PageNumber"/>
        <w:sz w:val="18"/>
        <w:szCs w:val="18"/>
      </w:rPr>
      <w:t>Database Systems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B" w:rsidRDefault="00DE70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58A9"/>
    <w:multiLevelType w:val="hybridMultilevel"/>
    <w:tmpl w:val="9322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751CE"/>
    <w:multiLevelType w:val="hybridMultilevel"/>
    <w:tmpl w:val="07580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B0F58"/>
    <w:multiLevelType w:val="hybridMultilevel"/>
    <w:tmpl w:val="AE92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4F06B9"/>
    <w:multiLevelType w:val="hybridMultilevel"/>
    <w:tmpl w:val="2DF6A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25112"/>
    <w:multiLevelType w:val="hybridMultilevel"/>
    <w:tmpl w:val="B6C89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42F4"/>
    <w:rsid w:val="00016445"/>
    <w:rsid w:val="00045C8A"/>
    <w:rsid w:val="00087233"/>
    <w:rsid w:val="00093679"/>
    <w:rsid w:val="000A63FA"/>
    <w:rsid w:val="000B03C1"/>
    <w:rsid w:val="000B18F0"/>
    <w:rsid w:val="000D568E"/>
    <w:rsid w:val="000D7FF7"/>
    <w:rsid w:val="000E0C36"/>
    <w:rsid w:val="000E5A4E"/>
    <w:rsid w:val="000F43FA"/>
    <w:rsid w:val="0011098E"/>
    <w:rsid w:val="001151D0"/>
    <w:rsid w:val="00140998"/>
    <w:rsid w:val="001419D5"/>
    <w:rsid w:val="0015223C"/>
    <w:rsid w:val="00162899"/>
    <w:rsid w:val="001706AB"/>
    <w:rsid w:val="00177A8B"/>
    <w:rsid w:val="00185B43"/>
    <w:rsid w:val="001A08BC"/>
    <w:rsid w:val="001A4318"/>
    <w:rsid w:val="001B35D8"/>
    <w:rsid w:val="001C114C"/>
    <w:rsid w:val="001F7215"/>
    <w:rsid w:val="00204180"/>
    <w:rsid w:val="002341C0"/>
    <w:rsid w:val="00240419"/>
    <w:rsid w:val="00255305"/>
    <w:rsid w:val="002635F7"/>
    <w:rsid w:val="00271B10"/>
    <w:rsid w:val="00271EAC"/>
    <w:rsid w:val="00273BCB"/>
    <w:rsid w:val="00294BA5"/>
    <w:rsid w:val="002A1DAE"/>
    <w:rsid w:val="002A4D3B"/>
    <w:rsid w:val="002A623E"/>
    <w:rsid w:val="002D39D3"/>
    <w:rsid w:val="002D4BB6"/>
    <w:rsid w:val="002D797F"/>
    <w:rsid w:val="002E7B4D"/>
    <w:rsid w:val="003157EF"/>
    <w:rsid w:val="003161A3"/>
    <w:rsid w:val="0032090C"/>
    <w:rsid w:val="00320C60"/>
    <w:rsid w:val="00321D50"/>
    <w:rsid w:val="00323426"/>
    <w:rsid w:val="003237EB"/>
    <w:rsid w:val="00330898"/>
    <w:rsid w:val="003401E8"/>
    <w:rsid w:val="00344A5C"/>
    <w:rsid w:val="003466DD"/>
    <w:rsid w:val="00350C2C"/>
    <w:rsid w:val="00353DF9"/>
    <w:rsid w:val="00355578"/>
    <w:rsid w:val="003738D7"/>
    <w:rsid w:val="003A2F52"/>
    <w:rsid w:val="003A4D8A"/>
    <w:rsid w:val="003B4D2B"/>
    <w:rsid w:val="003B7059"/>
    <w:rsid w:val="003B7E53"/>
    <w:rsid w:val="003E0156"/>
    <w:rsid w:val="003F3365"/>
    <w:rsid w:val="004000E1"/>
    <w:rsid w:val="00407117"/>
    <w:rsid w:val="00414AFE"/>
    <w:rsid w:val="00444395"/>
    <w:rsid w:val="00471272"/>
    <w:rsid w:val="00476BF5"/>
    <w:rsid w:val="0048756D"/>
    <w:rsid w:val="00487EDA"/>
    <w:rsid w:val="00494C35"/>
    <w:rsid w:val="0049791C"/>
    <w:rsid w:val="004A25FC"/>
    <w:rsid w:val="004C1CDC"/>
    <w:rsid w:val="004C2B11"/>
    <w:rsid w:val="004D2958"/>
    <w:rsid w:val="004E1843"/>
    <w:rsid w:val="004F67D4"/>
    <w:rsid w:val="00500D8F"/>
    <w:rsid w:val="00504FDD"/>
    <w:rsid w:val="0052424B"/>
    <w:rsid w:val="00537B36"/>
    <w:rsid w:val="005411A7"/>
    <w:rsid w:val="00541B2D"/>
    <w:rsid w:val="00541DB4"/>
    <w:rsid w:val="00544751"/>
    <w:rsid w:val="005451E7"/>
    <w:rsid w:val="00547F85"/>
    <w:rsid w:val="0055193C"/>
    <w:rsid w:val="00553987"/>
    <w:rsid w:val="00556F24"/>
    <w:rsid w:val="00564C5B"/>
    <w:rsid w:val="00573E65"/>
    <w:rsid w:val="00581C0B"/>
    <w:rsid w:val="00582FAE"/>
    <w:rsid w:val="005A21C9"/>
    <w:rsid w:val="005A500B"/>
    <w:rsid w:val="005B3F23"/>
    <w:rsid w:val="005C273B"/>
    <w:rsid w:val="005C4DED"/>
    <w:rsid w:val="005D070D"/>
    <w:rsid w:val="005E003F"/>
    <w:rsid w:val="005E06BB"/>
    <w:rsid w:val="005E38D6"/>
    <w:rsid w:val="005F336B"/>
    <w:rsid w:val="006307DB"/>
    <w:rsid w:val="0065381D"/>
    <w:rsid w:val="00667E51"/>
    <w:rsid w:val="006816D9"/>
    <w:rsid w:val="006826C8"/>
    <w:rsid w:val="00687DA7"/>
    <w:rsid w:val="00696538"/>
    <w:rsid w:val="00697874"/>
    <w:rsid w:val="006A783B"/>
    <w:rsid w:val="006B20D0"/>
    <w:rsid w:val="006D0967"/>
    <w:rsid w:val="006D15A8"/>
    <w:rsid w:val="007314D7"/>
    <w:rsid w:val="0075511A"/>
    <w:rsid w:val="00755760"/>
    <w:rsid w:val="00761A3F"/>
    <w:rsid w:val="007B036D"/>
    <w:rsid w:val="007B51E3"/>
    <w:rsid w:val="007C3779"/>
    <w:rsid w:val="007D2870"/>
    <w:rsid w:val="007E50DA"/>
    <w:rsid w:val="00823304"/>
    <w:rsid w:val="00824253"/>
    <w:rsid w:val="00846F48"/>
    <w:rsid w:val="0085020D"/>
    <w:rsid w:val="00855A99"/>
    <w:rsid w:val="00863E62"/>
    <w:rsid w:val="008654E8"/>
    <w:rsid w:val="008744C3"/>
    <w:rsid w:val="008930C0"/>
    <w:rsid w:val="008B474D"/>
    <w:rsid w:val="008B7B80"/>
    <w:rsid w:val="008C2FBF"/>
    <w:rsid w:val="008C4D5F"/>
    <w:rsid w:val="008D2519"/>
    <w:rsid w:val="008E6EB4"/>
    <w:rsid w:val="0090006A"/>
    <w:rsid w:val="009169CE"/>
    <w:rsid w:val="00923D7E"/>
    <w:rsid w:val="009429BE"/>
    <w:rsid w:val="009463EB"/>
    <w:rsid w:val="00957C92"/>
    <w:rsid w:val="00974624"/>
    <w:rsid w:val="00976C7F"/>
    <w:rsid w:val="00977129"/>
    <w:rsid w:val="0097789E"/>
    <w:rsid w:val="00977B7E"/>
    <w:rsid w:val="0098073C"/>
    <w:rsid w:val="00982FCF"/>
    <w:rsid w:val="00983BAB"/>
    <w:rsid w:val="009A040B"/>
    <w:rsid w:val="009A32E5"/>
    <w:rsid w:val="009A4760"/>
    <w:rsid w:val="009A6608"/>
    <w:rsid w:val="009B1D36"/>
    <w:rsid w:val="009E0D9C"/>
    <w:rsid w:val="00A0265E"/>
    <w:rsid w:val="00A02D4B"/>
    <w:rsid w:val="00A03269"/>
    <w:rsid w:val="00A067EA"/>
    <w:rsid w:val="00A11519"/>
    <w:rsid w:val="00A16A4F"/>
    <w:rsid w:val="00A24667"/>
    <w:rsid w:val="00A45BE6"/>
    <w:rsid w:val="00A51563"/>
    <w:rsid w:val="00A51DFE"/>
    <w:rsid w:val="00A5736C"/>
    <w:rsid w:val="00A615BE"/>
    <w:rsid w:val="00A63343"/>
    <w:rsid w:val="00A723E6"/>
    <w:rsid w:val="00A776C3"/>
    <w:rsid w:val="00A911D0"/>
    <w:rsid w:val="00AB3761"/>
    <w:rsid w:val="00AC26E0"/>
    <w:rsid w:val="00AE3A60"/>
    <w:rsid w:val="00B055F3"/>
    <w:rsid w:val="00B06259"/>
    <w:rsid w:val="00B0686A"/>
    <w:rsid w:val="00B15D19"/>
    <w:rsid w:val="00B211B9"/>
    <w:rsid w:val="00B24269"/>
    <w:rsid w:val="00B5098D"/>
    <w:rsid w:val="00B56EEB"/>
    <w:rsid w:val="00B66FA0"/>
    <w:rsid w:val="00B71DF2"/>
    <w:rsid w:val="00B8506B"/>
    <w:rsid w:val="00B87A18"/>
    <w:rsid w:val="00BB0745"/>
    <w:rsid w:val="00BB5819"/>
    <w:rsid w:val="00BC2667"/>
    <w:rsid w:val="00BD5154"/>
    <w:rsid w:val="00BD733B"/>
    <w:rsid w:val="00BF53F0"/>
    <w:rsid w:val="00C111C0"/>
    <w:rsid w:val="00C35038"/>
    <w:rsid w:val="00C404BE"/>
    <w:rsid w:val="00C4472C"/>
    <w:rsid w:val="00C55DB5"/>
    <w:rsid w:val="00C570C1"/>
    <w:rsid w:val="00C8398B"/>
    <w:rsid w:val="00C859D4"/>
    <w:rsid w:val="00C93762"/>
    <w:rsid w:val="00CB34F3"/>
    <w:rsid w:val="00CD0FA6"/>
    <w:rsid w:val="00CD3A64"/>
    <w:rsid w:val="00CD422B"/>
    <w:rsid w:val="00CD6DE9"/>
    <w:rsid w:val="00D00107"/>
    <w:rsid w:val="00D158A3"/>
    <w:rsid w:val="00D308FB"/>
    <w:rsid w:val="00D4277C"/>
    <w:rsid w:val="00D45430"/>
    <w:rsid w:val="00D46522"/>
    <w:rsid w:val="00D51C7B"/>
    <w:rsid w:val="00D66C8A"/>
    <w:rsid w:val="00D72066"/>
    <w:rsid w:val="00DB696F"/>
    <w:rsid w:val="00DC581E"/>
    <w:rsid w:val="00DD0421"/>
    <w:rsid w:val="00DE0937"/>
    <w:rsid w:val="00DE70FB"/>
    <w:rsid w:val="00DE7157"/>
    <w:rsid w:val="00DF15B4"/>
    <w:rsid w:val="00E13287"/>
    <w:rsid w:val="00E26D01"/>
    <w:rsid w:val="00E411D0"/>
    <w:rsid w:val="00E4141F"/>
    <w:rsid w:val="00E4307E"/>
    <w:rsid w:val="00E57533"/>
    <w:rsid w:val="00E629F6"/>
    <w:rsid w:val="00E62AAC"/>
    <w:rsid w:val="00E6307C"/>
    <w:rsid w:val="00E77227"/>
    <w:rsid w:val="00E84A47"/>
    <w:rsid w:val="00EA2FDA"/>
    <w:rsid w:val="00EB41E8"/>
    <w:rsid w:val="00EB4374"/>
    <w:rsid w:val="00EB5C1B"/>
    <w:rsid w:val="00EB5D58"/>
    <w:rsid w:val="00ED08F6"/>
    <w:rsid w:val="00ED52AF"/>
    <w:rsid w:val="00ED7A41"/>
    <w:rsid w:val="00EE007E"/>
    <w:rsid w:val="00EE1E7B"/>
    <w:rsid w:val="00EE7D99"/>
    <w:rsid w:val="00EF598B"/>
    <w:rsid w:val="00F03AA4"/>
    <w:rsid w:val="00F0406C"/>
    <w:rsid w:val="00F1127A"/>
    <w:rsid w:val="00F360CB"/>
    <w:rsid w:val="00F459CD"/>
    <w:rsid w:val="00F7599E"/>
    <w:rsid w:val="00F84EDA"/>
    <w:rsid w:val="00F93053"/>
    <w:rsid w:val="00FA3AAB"/>
    <w:rsid w:val="00FA4C7F"/>
    <w:rsid w:val="00FC5FC4"/>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288C1-3F55-49E2-B492-FFDB9B2E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11</cp:revision>
  <dcterms:created xsi:type="dcterms:W3CDTF">2012-03-28T12:23:00Z</dcterms:created>
  <dcterms:modified xsi:type="dcterms:W3CDTF">2012-03-28T12:58:00Z</dcterms:modified>
</cp:coreProperties>
</file>