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ENGINEERING CONSULTANCY SERVICES AGREEMENT</w:t>
      </w:r>
    </w:p>
    <w:p>
      <w:pPr>
        <w:jc w:val="center"/>
      </w:pPr>
      <w:r>
        <w:rPr>
          <w:b/>
          <w:sz w:val="28"/>
        </w:rPr>
        <w:t>ASEER REGIONAL MUSEUM OF ART</w:t>
      </w:r>
    </w:p>
    <w:p>
      <w:pPr>
        <w:jc w:val="center"/>
      </w:pPr>
      <w:r>
        <w:rPr>
          <w:b/>
          <w:sz w:val="24"/>
        </w:rPr>
        <w:t>REDLINED VERSION — 1 August 2026</w:t>
      </w:r>
    </w:p>
    <w:p>
      <w:pPr>
        <w:jc w:val="center"/>
      </w:pPr>
      <w:r>
        <w:rPr>
          <w:b w:val="0"/>
          <w:sz w:val="20"/>
        </w:rPr>
        <w:t>Yellow highlight = proposed amendment</w:t>
      </w:r>
    </w:p>
    <w:p>
      <w:pPr>
        <w:jc w:val="center"/>
      </w:pPr>
      <w:r>
        <w:rPr>
          <w:b w:val="0"/>
          <w:sz w:val="20"/>
        </w:rPr>
        <w:t>Based on confirmed 7 decisions (Issue #42)</w:t>
      </w:r>
    </w:p>
    <w:p/>
    <w:p>
      <w:r>
        <w:rPr>
          <w:b w:val="0"/>
          <w:sz w:val="22"/>
        </w:rPr>
        <w:t>This Engineering Consultancy Services Agreement, hereinafter referred to as the "Agreement," is made on …. / …. / 2026, corresponding to …. / …. / 1448H, by and between:</w:t>
      </w:r>
    </w:p>
    <w:p>
      <w:r>
        <w:rPr>
          <w:b w:val="0"/>
          <w:sz w:val="22"/>
        </w:rPr>
        <w:t>Samaya Investment Company, a company established under the laws of the Kingdom of Saudi Arabia, holding Commercial Registration No. …………, Unified National Number …………, VAT Registration No. …….…., represented in signing this Agreement by Mr./Eng. ……………………., in his capacity as ……………………, hereinafter referred to as the "First Party" or the "Client."</w:t>
      </w:r>
    </w:p>
    <w:p>
      <w:r>
        <w:rPr>
          <w:b w:val="0"/>
          <w:sz w:val="22"/>
        </w:rPr>
        <w:t>And:</w:t>
      </w:r>
    </w:p>
    <w:p>
      <w:r>
        <w:rPr>
          <w:b w:val="0"/>
          <w:sz w:val="22"/>
        </w:rPr>
        <w:t>AD Engineering Co., a company established and licensed to practice engineering consultancy services in the Kingdom of Saudi Arabia, holding Commercial Registration No. …………, Engineering License No. …………, Unified National Number …………, VAT Registration No. …………, represented in signing this Agreement by Mr./Eng., in his capacity as …………………………, hereinafter referred to as the "Second Party" or the "Consultant."</w:t>
      </w:r>
    </w:p>
    <w:p>
      <w:r>
        <w:rPr>
          <w:b w:val="0"/>
          <w:sz w:val="22"/>
        </w:rPr>
        <w:t>The First Party and the Second Party shall individually be referred to as a "Party" and collectively as the "Parties."</w:t>
      </w:r>
    </w:p>
    <w:p>
      <w:r>
        <w:rPr>
          <w:b/>
          <w:sz w:val="22"/>
        </w:rPr>
        <w:t>Preamble</w:t>
      </w:r>
    </w:p>
    <w:p>
      <w:r>
        <w:rPr>
          <w:b w:val="0"/>
          <w:sz w:val="22"/>
        </w:rPr>
        <w:t>Whereas the First Party is undertaking or managing the project known as the Aseer Regional Museum of Art, hereinafter referred to as the "Project," and whereas the Second Party submitted Technical and Financial Proposal No. 7/2475/26/B.D, dated 14 July 2026, for engineering design consultancy, design review, verification and endorsement services, and whereas the First Party wishes to appoint the Second Party to perform such Services, the Parties have agreed to enter into this Agreement under the following terms.</w:t>
      </w:r>
    </w:p>
    <w:p>
      <w:r>
        <w:rPr>
          <w:b w:val="0"/>
          <w:sz w:val="22"/>
        </w:rPr>
        <w:t>The above preamble and the attached Technical and Financial Proposal shall form an integral part of this Agreement.</w:t>
      </w:r>
    </w:p>
    <w:p>
      <w:r>
        <w:rPr>
          <w:b/>
          <w:sz w:val="22"/>
        </w:rPr>
        <w:t>Article One</w:t>
      </w:r>
    </w:p>
    <w:p>
      <w:r>
        <w:rPr>
          <w:b/>
          <w:sz w:val="22"/>
        </w:rPr>
        <w:t>Contract Documents and Scope of Services</w:t>
      </w:r>
    </w:p>
    <w:p>
      <w:r>
        <w:rPr>
          <w:b w:val="0"/>
          <w:sz w:val="22"/>
        </w:rPr>
        <w:t>The Contract Documents shall consist of this Agreement, any written amendments or variation orders signed by both Parties, agreed written clarifications, and the Technical and Financial Proposal dated 14 July 2026. In case of inconsistency, this Agreement shall prevail, followed by signed amendments and variations, agreed clarifications, and then the Proposal.</w:t>
      </w:r>
    </w:p>
    <w:p>
      <w:r>
        <w:rPr>
          <w:b w:val="0"/>
          <w:sz w:val="22"/>
        </w:rPr>
        <w:t>The Second Party shall perform only the Services expressly stated in the Proposal. Any service, discipline or deliverable not expressly included shall be deemed excluded unless added by written variation. The assumptions, qualifications and exclusions stated in the Proposal shall remain applicable, and expressions such as "complete design," "full responsibility," "coordination," or "fitness for purpose" shall be interpreted within the agreed scope and according to the reasonable professional skill, care and diligence expected from a licensed engineering consultant in the Kingdom of Saudi Arabia.</w:t>
      </w:r>
    </w:p>
    <w:p>
      <w:r>
        <w:rPr>
          <w:b w:val="0"/>
          <w:sz w:val="22"/>
        </w:rPr>
        <w:t>No verbal instruction, meeting minute, email or review comment shall change the scope, Contract Price or duration unless expressly approved in writing by the authorized representatives of both Parties.</w:t>
      </w:r>
    </w:p>
    <w:p>
      <w:r>
        <w:rPr>
          <w:b/>
          <w:sz w:val="22"/>
        </w:rPr>
        <w:t>Article Two</w:t>
      </w:r>
    </w:p>
    <w:p>
      <w:r>
        <w:rPr>
          <w:b/>
          <w:sz w:val="22"/>
        </w:rPr>
        <w:t>Obligations of the Second Party</w:t>
      </w:r>
    </w:p>
    <w:p>
      <w:r>
        <w:rPr>
          <w:b w:val="0"/>
          <w:sz w:val="22"/>
        </w:rPr>
        <w:t>The Second Party shall perform the Services through suitably qualified personnel and in accordance with the approved Project requirements, the applicable Saudi Building Code, applicable regulations and the technical standards identified in the Proposal. It shall coordinate its work with the information and designs provided by the First Party and shall notify the First Party of any material discrepancy or missing information that becomes reasonably apparent.</w:t>
      </w:r>
    </w:p>
    <w:p>
      <w:r>
        <w:rPr>
          <w:b w:val="0"/>
          <w:sz w:val="22"/>
        </w:rPr>
        <w:t>The Second Party shall correct, without additional professional fees, material errors or omissions resulting from its failure to exercise the agreed professional standard of care. This obligation shall not apply to changes in requirements, incorrect information supplied by others, changes made by third parties, repeated review comments, or modifications requested after approval of a design stage.</w:t>
      </w:r>
    </w:p>
    <w:p>
      <w:r>
        <w:rPr>
          <w:b w:val="0"/>
          <w:sz w:val="22"/>
        </w:rPr>
        <w:t>The Second Party shall not be responsible for construction methods, temporary works, site safety, contractor workmanship, procurement, specialist designs prepared by others, final construction quantities, or unauthorized alteration or reuse of its Deliverables. Technical support to authorities, the project manager or the reviewing entity shall be limited to matters within the agreed Services and shall not constitute a guarantee of approval.</w:t>
      </w:r>
    </w:p>
    <w:p>
      <w:r>
        <w:rPr>
          <w:b/>
          <w:sz w:val="24"/>
          <w:shd w:val="clear" w:color="auto" w:fill="FFFF00"/>
        </w:rPr>
        <w:t>Article 2.X — Design Chain Liability (Mechanical Discipline)</w:t>
      </w:r>
    </w:p>
    <w:p>
      <w:r>
        <w:rPr>
          <w:b w:val="0"/>
          <w:sz w:val="22"/>
          <w:shd w:val="clear" w:color="auto" w:fill="FFFF00"/>
        </w:rPr>
        <w:t>For drawings prepared by the First Party and approved by the Second Party under the Mechanical Discipline, error liability shall be allocated as follows:</w:t>
      </w:r>
    </w:p>
    <w:p>
      <w:r>
        <w:rPr>
          <w:b w:val="0"/>
          <w:sz w:val="22"/>
          <w:shd w:val="clear" w:color="auto" w:fill="FFFF00"/>
        </w:rPr>
        <w:t>(a) Drawing errors reasonably discoverable by a competent, licensed mechanical engineer with ten (10) or more years' relevant experience, applying industry-standard QA/QC procedures = Second Party's responsibility (review failure).</w:t>
      </w:r>
    </w:p>
    <w:p>
      <w:r>
        <w:rPr>
          <w:b w:val="0"/>
          <w:sz w:val="22"/>
          <w:shd w:val="clear" w:color="auto" w:fill="FFFF00"/>
        </w:rPr>
        <w:t>(b) Drawing errors NOT reasonably discoverable by such a reviewer = First Party's responsibility.</w:t>
      </w:r>
    </w:p>
    <w:p>
      <w:r>
        <w:rPr>
          <w:b w:val="0"/>
          <w:sz w:val="22"/>
          <w:shd w:val="clear" w:color="auto" w:fill="FFFF00"/>
        </w:rPr>
        <w:t>(c) Errors in calculations (load calculations, equipment sizing, hydraulic calculations, etc.) = Second Party's responsibility.</w:t>
      </w:r>
    </w:p>
    <w:p>
      <w:r>
        <w:rPr>
          <w:b w:val="0"/>
          <w:sz w:val="22"/>
          <w:shd w:val="clear" w:color="auto" w:fill="FFFF00"/>
        </w:rPr>
        <w:t>(d) Errors in code compliance (Saudi Building Code, NFPA, IEC standards, etc.) = Second Party's responsibility.</w:t>
      </w:r>
    </w:p>
    <w:p>
      <w:r>
        <w:rPr>
          <w:b w:val="0"/>
          <w:sz w:val="22"/>
          <w:shd w:val="clear" w:color="auto" w:fill="FFFF00"/>
        </w:rPr>
        <w:t>(e) Errors arising from coordination with other disciplines (per Schedule B RACI Matrix) = allocated per the RACI responsibilities.</w:t>
      </w:r>
    </w:p>
    <w:p>
      <w:r>
        <w:rPr>
          <w:b w:val="0"/>
          <w:sz w:val="22"/>
          <w:shd w:val="clear" w:color="auto" w:fill="FFFF00"/>
        </w:rPr>
        <w:t>(f) Errors caused by unauthorized modification by a third party after approval = NEITHER Party (per Article 2 P019 of this Agreement).</w:t>
      </w:r>
    </w:p>
    <w:p>
      <w:r>
        <w:rPr>
          <w:b/>
          <w:sz w:val="22"/>
          <w:shd w:val="clear" w:color="auto" w:fill="FFFF00"/>
        </w:rPr>
        <w:t>2.X.1 — Review SLA</w:t>
      </w:r>
    </w:p>
    <w:p>
      <w:r>
        <w:rPr>
          <w:b w:val="0"/>
          <w:sz w:val="22"/>
          <w:shd w:val="clear" w:color="auto" w:fill="FFFF00"/>
        </w:rPr>
        <w:t>The Second Party's review of each Mechanical drawing shall be completed within five (5) Working Days of receipt. If the Second Party exceeds this SLA, the First Party may: (a) Escalate to the Project Management Consultant (PMC) for resolution; (b) Request the Second Party to allocate additional reviewer resources at the Second Party's own cost.</w:t>
      </w:r>
    </w:p>
    <w:p>
      <w:r>
        <w:rPr>
          <w:b/>
          <w:sz w:val="22"/>
        </w:rPr>
        <w:t>Article Three</w:t>
      </w:r>
    </w:p>
    <w:p>
      <w:r>
        <w:rPr>
          <w:b/>
          <w:sz w:val="22"/>
        </w:rPr>
        <w:t>Obligations of the First Party</w:t>
      </w:r>
    </w:p>
    <w:p>
      <w:r>
        <w:rPr>
          <w:b w:val="0"/>
          <w:sz w:val="22"/>
        </w:rPr>
        <w:t>The First Party shall provide, in a timely manner, all drawings, surveys, reports, Owner's Requirements, technical data, existing-condition information and other documents required for the Services, including the power-quality and harmonic-distortion test reports identified in the Proposal. The First Party shall ensure that all information supplied is accurate, complete, coordinated and legally available for use on the Project.</w:t>
      </w:r>
    </w:p>
    <w:p>
      <w:r>
        <w:rPr>
          <w:b w:val="0"/>
          <w:sz w:val="22"/>
        </w:rPr>
        <w:t>The First Party shall appoint one authorized representative to issue instructions, provide decisions and consolidate review comments. It shall coordinate the Second Party with the architect, structural consultant, contractor, project manager, reviewing entity, museum consultant and all specialist designers involved in the Project.</w:t>
      </w:r>
    </w:p>
    <w:p>
      <w:r>
        <w:rPr>
          <w:b w:val="0"/>
          <w:sz w:val="22"/>
        </w:rPr>
        <w:t>The First Party shall arrange required site access, bear authority, permit, utility and submission fees, and reimburse approved travel, accommodation and transportation expenses for site visits. Payment to the Second Party shall not be conditional upon receipt of payment by the First Party from the Project owner or any third party.</w:t>
      </w:r>
    </w:p>
    <w:p>
      <w:r>
        <w:rPr>
          <w:b/>
          <w:sz w:val="22"/>
        </w:rPr>
        <w:t>Article Four</w:t>
      </w:r>
    </w:p>
    <w:p>
      <w:r>
        <w:rPr>
          <w:b/>
          <w:sz w:val="22"/>
        </w:rPr>
        <w:t>Commencement and Duration</w:t>
      </w:r>
    </w:p>
    <w:p>
      <w:r>
        <w:rPr>
          <w:b w:val="0"/>
          <w:sz w:val="22"/>
        </w:rPr>
        <w:t>The duration for performing the design Services (50% DD, 90% IFC, and 100% Final IFC) shall be thirty (30) Working Days for the Mechanical Discipline and forty-five (45) Working Days for the Electrical Discipline, commencing from the latest of the date of signature of this Agreement, receipt of the mobilization payment, receipt of the approved detailed assessment report for all the existing MEP systems, approved scope of work clearly defined and clouded on the drawings to be submitted to the second party the material information required to start and complete the design Services. After the receipt and study of all previous items, a site visit is required to confirm all the information to the two parties will be able to sign a written notice to proceed.</w:t>
      </w:r>
    </w:p>
    <w:p>
      <w:r>
        <w:rPr>
          <w:b/>
          <w:sz w:val="22"/>
          <w:shd w:val="clear" w:color="auto" w:fill="FFFF00"/>
        </w:rPr>
        <w:t>The 100% Final IFC Package shall be delivered no later than 30 September 2026. Post-IFC deliverables (as-built drawings, O&amp;M manuals, commissioning specifications) shall be delivered no later than 15 October 2026.</w:t>
      </w:r>
    </w:p>
    <w:p>
      <w:r>
        <w:rPr>
          <w:b w:val="0"/>
          <w:sz w:val="22"/>
        </w:rPr>
        <w:t>The duration shall exclude periods taken by the First Party, the reviewing entity, authorities or other consultants to provide information, comments, decisions or approvals. It shall also exclude delays arising from variations, suspension, inaccurate or incomplete information, force majeure or any event beyond the reasonable control of the Second Party.</w:t>
      </w:r>
    </w:p>
    <w:p>
      <w:r>
        <w:rPr>
          <w:b w:val="0"/>
          <w:sz w:val="22"/>
        </w:rPr>
        <w:t>The Second Party shall be entitled to a reasonable extension of time for any delay not attributable to it. Where such delay materially affects mobilization, staffing or sequencing, the Second Party shall also be entitled to reasonable additional costs upon written notification. No delay penalties or liquidated damages shall apply unless separately agreed in writing.</w:t>
      </w:r>
    </w:p>
    <w:p>
      <w:r>
        <w:rPr>
          <w:b/>
          <w:sz w:val="24"/>
          <w:shd w:val="clear" w:color="auto" w:fill="FFFF00"/>
        </w:rPr>
        <w:t>Article 4.X — Acceleration Bonus</w:t>
      </w:r>
    </w:p>
    <w:p>
      <w:r>
        <w:rPr>
          <w:b w:val="0"/>
          <w:sz w:val="22"/>
          <w:shd w:val="clear" w:color="auto" w:fill="FFFF00"/>
        </w:rPr>
        <w:t>If the Second Party achieves the 100% Final IFC Package on or before 30 September 2026, the First Party shall pay an acceleration bonus of SAR 40,000 (Forty Thousand Saudi Riyals) in addition to the Final/IFC Stage payment under Article 6.</w:t>
      </w:r>
    </w:p>
    <w:p>
      <w:r>
        <w:rPr>
          <w:b/>
          <w:sz w:val="22"/>
        </w:rPr>
        <w:t>Article Five</w:t>
      </w:r>
    </w:p>
    <w:p>
      <w:r>
        <w:rPr>
          <w:b/>
          <w:sz w:val="22"/>
        </w:rPr>
        <w:t>Submissions, Review and Acceptance</w:t>
      </w:r>
    </w:p>
    <w:p>
      <w:r>
        <w:rPr>
          <w:b w:val="0"/>
          <w:sz w:val="22"/>
        </w:rPr>
        <w:t>The Second Party shall submit the agreed Deliverables electronically in PDF format and in any native format expressly included in the Proposal. Draft or preliminary documents shall not be used for construction, tender, procurement, authority submission or construction, or expiry of seven Working Days without written rejection identifying a material contractual nonconformity.</w:t>
      </w:r>
    </w:p>
    <w:p>
      <w:r>
        <w:rPr>
          <w:b w:val="0"/>
          <w:sz w:val="22"/>
        </w:rPr>
        <w:t>The First Party shall provide one consolidated set of comments within five Working Days after each submission. A submission shall be deemed accepted upon written approval, authorized use for a later design stage, tender, procurement, authority submission or construction, or expiry of seven Working Days without written rejection identifying a material contractual nonconformity.</w:t>
      </w:r>
    </w:p>
    <w:p>
      <w:r>
        <w:rPr>
          <w:b w:val="0"/>
          <w:sz w:val="22"/>
        </w:rPr>
        <w:t>Minor comments that can reasonably be incorporated in the following stage shall not prevent acceptance or delay payment. Comments resulting from changed requirements, reversal of previous decisions, repeated reviews or changes made by other Project participants shall be treated as additional Services.</w:t>
      </w:r>
    </w:p>
    <w:p>
      <w:r>
        <w:rPr>
          <w:b/>
          <w:sz w:val="22"/>
        </w:rPr>
        <w:t>Article Six</w:t>
      </w:r>
    </w:p>
    <w:p>
      <w:r>
        <w:rPr>
          <w:b/>
          <w:sz w:val="22"/>
        </w:rPr>
        <w:t>Contract Price and Payment</w:t>
      </w:r>
    </w:p>
    <w:p>
      <w:r>
        <w:rPr>
          <w:b w:val="0"/>
          <w:sz w:val="22"/>
        </w:rPr>
        <w:t>The total Contract Price shall be SAR 225,000, only Two Hundred Twenty-Five Thousand Saudi Riyals, exclusive of VAT. VAT shall be added at the statutory rate applicable on the invoice date.</w:t>
      </w:r>
    </w:p>
    <w:p>
      <w:r>
        <w:rPr>
          <w:b w:val="0"/>
          <w:sz w:val="22"/>
        </w:rPr>
        <w:t>Payment shall be made as follows:</w:t>
      </w:r>
    </w:p>
    <w:p>
      <w:r>
        <w:rPr>
          <w:b w:val="0"/>
          <w:sz w:val="22"/>
        </w:rPr>
        <w:t>The Parties acknowledge that Samaya Investment Company has an outstanding, acknowledged and undisputed debit balance payable to AD Engineering Co. sufficient to cover the Contract Price. All payments due under this Agreement, including the Mobilization, 50% Design, 90% Design and Final/IFC Stage payments, shall become due upon achievement of the relevant milestone and shall be settled by set-off and deduction from such debit balance.</w:t>
      </w:r>
    </w:p>
    <w:p>
      <w:r>
        <w:rPr>
          <w:b w:val="0"/>
          <w:sz w:val="22"/>
        </w:rPr>
        <w:t>AD Engineering Co. shall issue the corresponding invoice for each milestone, and the deducted amount shall be deemed fully paid. Any amount not covered by the debit balance, including applicable VAT where relevant, shall be paid by Samaya Investment Company within ten calendar days from the invoice date.</w:t>
      </w:r>
    </w:p>
    <w:p>
      <w:r>
        <w:rPr>
          <w:b/>
          <w:sz w:val="22"/>
        </w:rPr>
        <w:t>Article Seven</w:t>
      </w:r>
    </w:p>
    <w:p>
      <w:r>
        <w:rPr>
          <w:b/>
          <w:sz w:val="22"/>
        </w:rPr>
        <w:t>Variations and Additional Services</w:t>
      </w:r>
    </w:p>
    <w:p>
      <w:r>
        <w:rPr>
          <w:b w:val="0"/>
          <w:sz w:val="22"/>
        </w:rPr>
        <w:t>Any change to the agreed scope, approved requirements, Deliverables, design criteria, submission stages or program shall constitute a variation. Variations shall include changes to approved designs, additional disciplines or deliverables, additional meetings or site visits, repeated review cycles, acceleration, changes in regulations after commencement, or additional work arising from the acts or delays of other Project participants.</w:t>
      </w:r>
    </w:p>
    <w:p>
      <w:r>
        <w:rPr>
          <w:b w:val="0"/>
          <w:sz w:val="22"/>
        </w:rPr>
        <w:t>Before commencing a variation, the Second Party shall submit a written proposal stating the additional Services, fees and effect on the program. The Second Party shall not be required to commence varied work until written approval is received from the First Party.</w:t>
      </w:r>
    </w:p>
    <w:p>
      <w:r>
        <w:rPr>
          <w:b w:val="0"/>
          <w:sz w:val="22"/>
        </w:rPr>
        <w:t>Urgent additional work may be commenced only upon written instruction and shall be charged at agreed rates or, where no rates have been agreed, at the Second Party's prevailing professional rates.</w:t>
      </w:r>
    </w:p>
    <w:p>
      <w:r>
        <w:rPr>
          <w:b/>
          <w:sz w:val="24"/>
          <w:shd w:val="clear" w:color="auto" w:fill="FFFF00"/>
        </w:rPr>
        <w:t>Article 7.X — Authority Submissions</w:t>
      </w:r>
    </w:p>
    <w:p>
      <w:r>
        <w:rPr>
          <w:b w:val="0"/>
          <w:sz w:val="22"/>
          <w:shd w:val="clear" w:color="auto" w:fill="FFFF00"/>
        </w:rPr>
        <w:t>The Parties agree to the following authority submissions framework: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shd w:val="clear" w:color="auto" w:fill="FFFF00"/>
              </w:rPr>
              <w:t>Authority</w:t>
            </w:r>
          </w:p>
        </w:tc>
        <w:tc>
          <w:tcPr>
            <w:tcW w:type="dxa" w:w="1728"/>
          </w:tcPr>
          <w:p>
            <w:r/>
            <w:r>
              <w:rPr>
                <w:b/>
                <w:sz w:val="18"/>
                <w:shd w:val="clear" w:color="auto" w:fill="FFFF00"/>
              </w:rPr>
              <w:t>Drafter</w:t>
            </w:r>
          </w:p>
        </w:tc>
        <w:tc>
          <w:tcPr>
            <w:tcW w:type="dxa" w:w="1728"/>
          </w:tcPr>
          <w:p>
            <w:r/>
            <w:r>
              <w:rPr>
                <w:b/>
                <w:sz w:val="18"/>
                <w:shd w:val="clear" w:color="auto" w:fill="FFFF00"/>
              </w:rPr>
              <w:t>Submitter</w:t>
            </w:r>
          </w:p>
        </w:tc>
        <w:tc>
          <w:tcPr>
            <w:tcW w:type="dxa" w:w="1728"/>
          </w:tcPr>
          <w:p>
            <w:r/>
            <w:r>
              <w:rPr>
                <w:b/>
                <w:sz w:val="18"/>
                <w:shd w:val="clear" w:color="auto" w:fill="FFFF00"/>
              </w:rPr>
              <w:t>Fees payer</w:t>
            </w:r>
          </w:p>
        </w:tc>
        <w:tc>
          <w:tcPr>
            <w:tcW w:type="dxa" w:w="1728"/>
          </w:tcPr>
          <w:p>
            <w:r/>
            <w:r>
              <w:rPr>
                <w:b/>
                <w:sz w:val="18"/>
                <w:shd w:val="clear" w:color="auto" w:fill="FFFF00"/>
              </w:rPr>
              <w:t>Resubmissions cap</w:t>
            </w:r>
          </w:p>
        </w:tc>
      </w:tr>
      <w:tr>
        <w:tc>
          <w:tcPr>
            <w:tcW w:type="dxa" w:w="1728"/>
          </w:tcPr>
          <w:p>
            <w:r/>
            <w:r>
              <w:rPr>
                <w:sz w:val="18"/>
                <w:shd w:val="clear" w:color="auto" w:fill="FFFF00"/>
              </w:rPr>
              <w:t>Civil Defense (MEP package)</w:t>
            </w:r>
          </w:p>
        </w:tc>
        <w:tc>
          <w:tcPr>
            <w:tcW w:type="dxa" w:w="1728"/>
          </w:tcPr>
          <w:p>
            <w:r/>
            <w:r>
              <w:rPr>
                <w:sz w:val="18"/>
                <w:shd w:val="clear" w:color="auto" w:fill="FFFF00"/>
              </w:rPr>
              <w:t>Second Party</w:t>
            </w:r>
          </w:p>
        </w:tc>
        <w:tc>
          <w:tcPr>
            <w:tcW w:type="dxa" w:w="1728"/>
          </w:tcPr>
          <w:p>
            <w:r/>
            <w:r>
              <w:rPr>
                <w:sz w:val="18"/>
                <w:shd w:val="clear" w:color="auto" w:fill="FFFF00"/>
              </w:rPr>
              <w:t>Second Party</w:t>
            </w:r>
          </w:p>
        </w:tc>
        <w:tc>
          <w:tcPr>
            <w:tcW w:type="dxa" w:w="1728"/>
          </w:tcPr>
          <w:p>
            <w:r/>
            <w:r>
              <w:rPr>
                <w:sz w:val="18"/>
                <w:shd w:val="clear" w:color="auto" w:fill="FFFF00"/>
              </w:rPr>
              <w:t>First Party</w:t>
            </w:r>
          </w:p>
        </w:tc>
        <w:tc>
          <w:tcPr>
            <w:tcW w:type="dxa" w:w="1728"/>
          </w:tcPr>
          <w:p>
            <w:r/>
            <w:r>
              <w:rPr>
                <w:sz w:val="18"/>
                <w:shd w:val="clear" w:color="auto" w:fill="FFFF00"/>
              </w:rPr>
              <w:t>3</w:t>
            </w:r>
          </w:p>
        </w:tc>
      </w:tr>
      <w:tr>
        <w:tc>
          <w:tcPr>
            <w:tcW w:type="dxa" w:w="1728"/>
          </w:tcPr>
          <w:p>
            <w:r/>
            <w:r>
              <w:rPr>
                <w:sz w:val="18"/>
                <w:shd w:val="clear" w:color="auto" w:fill="FFFF00"/>
              </w:rPr>
              <w:t>Municipality (MEP package)</w:t>
            </w:r>
          </w:p>
        </w:tc>
        <w:tc>
          <w:tcPr>
            <w:tcW w:type="dxa" w:w="1728"/>
          </w:tcPr>
          <w:p>
            <w:r/>
            <w:r>
              <w:rPr>
                <w:sz w:val="18"/>
                <w:shd w:val="clear" w:color="auto" w:fill="FFFF00"/>
              </w:rPr>
              <w:t>Second Party</w:t>
            </w:r>
          </w:p>
        </w:tc>
        <w:tc>
          <w:tcPr>
            <w:tcW w:type="dxa" w:w="1728"/>
          </w:tcPr>
          <w:p>
            <w:r/>
            <w:r>
              <w:rPr>
                <w:sz w:val="18"/>
                <w:shd w:val="clear" w:color="auto" w:fill="FFFF00"/>
              </w:rPr>
              <w:t>First Party</w:t>
            </w:r>
          </w:p>
        </w:tc>
        <w:tc>
          <w:tcPr>
            <w:tcW w:type="dxa" w:w="1728"/>
          </w:tcPr>
          <w:p>
            <w:r/>
            <w:r>
              <w:rPr>
                <w:sz w:val="18"/>
                <w:shd w:val="clear" w:color="auto" w:fill="FFFF00"/>
              </w:rPr>
              <w:t>First Party</w:t>
            </w:r>
          </w:p>
        </w:tc>
        <w:tc>
          <w:tcPr>
            <w:tcW w:type="dxa" w:w="1728"/>
          </w:tcPr>
          <w:p>
            <w:r/>
            <w:r>
              <w:rPr>
                <w:sz w:val="18"/>
                <w:shd w:val="clear" w:color="auto" w:fill="FFFF00"/>
              </w:rPr>
              <w:t>2</w:t>
            </w:r>
          </w:p>
        </w:tc>
      </w:tr>
      <w:tr>
        <w:tc>
          <w:tcPr>
            <w:tcW w:type="dxa" w:w="1728"/>
          </w:tcPr>
          <w:p>
            <w:r/>
            <w:r>
              <w:rPr>
                <w:sz w:val="18"/>
                <w:shd w:val="clear" w:color="auto" w:fill="FFFF00"/>
              </w:rPr>
              <w:t>Saudi Electricity Company (SEC)</w:t>
            </w:r>
          </w:p>
        </w:tc>
        <w:tc>
          <w:tcPr>
            <w:tcW w:type="dxa" w:w="1728"/>
          </w:tcPr>
          <w:p>
            <w:r/>
            <w:r>
              <w:rPr>
                <w:sz w:val="18"/>
                <w:shd w:val="clear" w:color="auto" w:fill="FFFF00"/>
              </w:rPr>
              <w:t>Second Party</w:t>
            </w:r>
          </w:p>
        </w:tc>
        <w:tc>
          <w:tcPr>
            <w:tcW w:type="dxa" w:w="1728"/>
          </w:tcPr>
          <w:p>
            <w:r/>
            <w:r>
              <w:rPr>
                <w:sz w:val="18"/>
                <w:shd w:val="clear" w:color="auto" w:fill="FFFF00"/>
              </w:rPr>
              <w:t>First Party</w:t>
            </w:r>
          </w:p>
        </w:tc>
        <w:tc>
          <w:tcPr>
            <w:tcW w:type="dxa" w:w="1728"/>
          </w:tcPr>
          <w:p>
            <w:r/>
            <w:r>
              <w:rPr>
                <w:sz w:val="18"/>
                <w:shd w:val="clear" w:color="auto" w:fill="FFFF00"/>
              </w:rPr>
              <w:t>First Party</w:t>
            </w:r>
          </w:p>
        </w:tc>
        <w:tc>
          <w:tcPr>
            <w:tcW w:type="dxa" w:w="1728"/>
          </w:tcPr>
          <w:p>
            <w:r/>
            <w:r>
              <w:rPr>
                <w:sz w:val="18"/>
                <w:shd w:val="clear" w:color="auto" w:fill="FFFF00"/>
              </w:rPr>
              <w:t>3</w:t>
            </w:r>
          </w:p>
        </w:tc>
      </w:tr>
      <w:tr>
        <w:tc>
          <w:tcPr>
            <w:tcW w:type="dxa" w:w="1728"/>
          </w:tcPr>
          <w:p>
            <w:r/>
            <w:r>
              <w:rPr>
                <w:sz w:val="18"/>
                <w:shd w:val="clear" w:color="auto" w:fill="FFFF00"/>
              </w:rPr>
              <w:t>Water utility</w:t>
            </w:r>
          </w:p>
        </w:tc>
        <w:tc>
          <w:tcPr>
            <w:tcW w:type="dxa" w:w="1728"/>
          </w:tcPr>
          <w:p>
            <w:r/>
            <w:r>
              <w:rPr>
                <w:sz w:val="18"/>
                <w:shd w:val="clear" w:color="auto" w:fill="FFFF00"/>
              </w:rPr>
              <w:t>Second Party</w:t>
            </w:r>
          </w:p>
        </w:tc>
        <w:tc>
          <w:tcPr>
            <w:tcW w:type="dxa" w:w="1728"/>
          </w:tcPr>
          <w:p>
            <w:r/>
            <w:r>
              <w:rPr>
                <w:sz w:val="18"/>
                <w:shd w:val="clear" w:color="auto" w:fill="FFFF00"/>
              </w:rPr>
              <w:t>First Party</w:t>
            </w:r>
          </w:p>
        </w:tc>
        <w:tc>
          <w:tcPr>
            <w:tcW w:type="dxa" w:w="1728"/>
          </w:tcPr>
          <w:p>
            <w:r/>
            <w:r>
              <w:rPr>
                <w:sz w:val="18"/>
                <w:shd w:val="clear" w:color="auto" w:fill="FFFF00"/>
              </w:rPr>
              <w:t>First Party</w:t>
            </w:r>
          </w:p>
        </w:tc>
        <w:tc>
          <w:tcPr>
            <w:tcW w:type="dxa" w:w="1728"/>
          </w:tcPr>
          <w:p>
            <w:r/>
            <w:r>
              <w:rPr>
                <w:sz w:val="18"/>
                <w:shd w:val="clear" w:color="auto" w:fill="FFFF00"/>
              </w:rPr>
              <w:t>3</w:t>
            </w:r>
          </w:p>
        </w:tc>
      </w:tr>
      <w:tr>
        <w:tc>
          <w:tcPr>
            <w:tcW w:type="dxa" w:w="1728"/>
          </w:tcPr>
          <w:p>
            <w:r/>
            <w:r>
              <w:rPr>
                <w:sz w:val="18"/>
                <w:shd w:val="clear" w:color="auto" w:fill="FFFF00"/>
              </w:rPr>
              <w:t>Telecom (STC / Mobily)</w:t>
            </w:r>
          </w:p>
        </w:tc>
        <w:tc>
          <w:tcPr>
            <w:tcW w:type="dxa" w:w="1728"/>
          </w:tcPr>
          <w:p>
            <w:r/>
            <w:r>
              <w:rPr>
                <w:sz w:val="18"/>
                <w:shd w:val="clear" w:color="auto" w:fill="FFFF00"/>
              </w:rPr>
              <w:t>Rawasin</w:t>
            </w:r>
          </w:p>
        </w:tc>
        <w:tc>
          <w:tcPr>
            <w:tcW w:type="dxa" w:w="1728"/>
          </w:tcPr>
          <w:p>
            <w:r/>
            <w:r>
              <w:rPr>
                <w:sz w:val="18"/>
                <w:shd w:val="clear" w:color="auto" w:fill="FFFF00"/>
              </w:rPr>
              <w:t>First Party</w:t>
            </w:r>
          </w:p>
        </w:tc>
        <w:tc>
          <w:tcPr>
            <w:tcW w:type="dxa" w:w="1728"/>
          </w:tcPr>
          <w:p>
            <w:r/>
            <w:r>
              <w:rPr>
                <w:sz w:val="18"/>
                <w:shd w:val="clear" w:color="auto" w:fill="FFFF00"/>
              </w:rPr>
              <w:t>First Party</w:t>
            </w:r>
          </w:p>
        </w:tc>
        <w:tc>
          <w:tcPr>
            <w:tcW w:type="dxa" w:w="1728"/>
          </w:tcPr>
          <w:p>
            <w:r/>
            <w:r>
              <w:rPr>
                <w:sz w:val="18"/>
                <w:shd w:val="clear" w:color="auto" w:fill="FFFF00"/>
              </w:rPr>
              <w:t>3</w:t>
            </w:r>
          </w:p>
        </w:tc>
      </w:tr>
      <w:tr>
        <w:tc>
          <w:tcPr>
            <w:tcW w:type="dxa" w:w="1728"/>
          </w:tcPr>
          <w:p>
            <w:r/>
            <w:r>
              <w:rPr>
                <w:sz w:val="18"/>
                <w:shd w:val="clear" w:color="auto" w:fill="FFFF00"/>
              </w:rPr>
              <w:t>NCEC (environmental)</w:t>
            </w:r>
          </w:p>
        </w:tc>
        <w:tc>
          <w:tcPr>
            <w:tcW w:type="dxa" w:w="1728"/>
          </w:tcPr>
          <w:p>
            <w:r/>
            <w:r>
              <w:rPr>
                <w:sz w:val="18"/>
                <w:shd w:val="clear" w:color="auto" w:fill="FFFF00"/>
              </w:rPr>
              <w:t>First Party</w:t>
            </w:r>
          </w:p>
        </w:tc>
        <w:tc>
          <w:tcPr>
            <w:tcW w:type="dxa" w:w="1728"/>
          </w:tcPr>
          <w:p>
            <w:r/>
            <w:r>
              <w:rPr>
                <w:sz w:val="18"/>
                <w:shd w:val="clear" w:color="auto" w:fill="FFFF00"/>
              </w:rPr>
              <w:t>First Party</w:t>
            </w:r>
          </w:p>
        </w:tc>
        <w:tc>
          <w:tcPr>
            <w:tcW w:type="dxa" w:w="1728"/>
          </w:tcPr>
          <w:p>
            <w:r/>
            <w:r>
              <w:rPr>
                <w:sz w:val="18"/>
                <w:shd w:val="clear" w:color="auto" w:fill="FFFF00"/>
              </w:rPr>
              <w:t>First Party</w:t>
            </w:r>
          </w:p>
        </w:tc>
        <w:tc>
          <w:tcPr>
            <w:tcW w:type="dxa" w:w="1728"/>
          </w:tcPr>
          <w:p>
            <w:r/>
            <w:r>
              <w:rPr>
                <w:sz w:val="18"/>
                <w:shd w:val="clear" w:color="auto" w:fill="FFFF00"/>
              </w:rPr>
              <w:t>2</w:t>
            </w:r>
          </w:p>
        </w:tc>
      </w:tr>
    </w:tbl>
    <w:p>
      <w:r>
        <w:rPr>
          <w:b w:val="0"/>
          <w:sz w:val="22"/>
          <w:shd w:val="clear" w:color="auto" w:fill="FFFF00"/>
        </w:rPr>
        <w:t>Civil Defense submission: The First Party shall provide: (a) All submission fees (per Article 3 P024); (b) An appointment letter authorizing the Second Party to act on the First Party's behalf before the Civil Defense authority; (c) A representative to accompany the Second Party to Civil Defense meetings.</w:t>
      </w:r>
    </w:p>
    <w:p>
      <w:r>
        <w:rPr>
          <w:b w:val="0"/>
          <w:sz w:val="22"/>
          <w:shd w:val="clear" w:color="auto" w:fill="FFFF00"/>
        </w:rPr>
        <w:t>Resubmission beyond cap: Treated as variations under Article 7, with pre-agreed rates: Technical resubmission (design error): SAR 2,500 per submission; Administrative resubmission (missing document): SAR 500 per submission.</w:t>
      </w:r>
    </w:p>
    <w:p>
      <w:r>
        <w:rPr>
          <w:b w:val="0"/>
          <w:sz w:val="22"/>
          <w:shd w:val="clear" w:color="auto" w:fill="FFFF00"/>
        </w:rPr>
        <w:t>The Second Party does not guarantee approval by any authority. The Second Party's role ends upon written submission (or rejection) by the authority.</w:t>
      </w:r>
    </w:p>
    <w:p>
      <w:r>
        <w:rPr>
          <w:b/>
          <w:sz w:val="22"/>
        </w:rPr>
        <w:t>Article Eight</w:t>
      </w:r>
    </w:p>
    <w:p>
      <w:r>
        <w:rPr>
          <w:b/>
          <w:sz w:val="22"/>
        </w:rPr>
        <w:t>Intellectual Property and Confidentiality</w:t>
      </w:r>
    </w:p>
    <w:p>
      <w:r>
        <w:rPr>
          <w:b w:val="0"/>
          <w:sz w:val="22"/>
        </w:rPr>
        <w:t>All standard details, methodologies, calculation tools, templates, software and professional know-how owned or developed independently by the Second Party shall remain its property. Upon full payment of all amounts due, the First Party shall receive a non-exclusive license to use the final Deliverables solely for the design, approval, construction, operation and maintenance of the Project.</w:t>
      </w:r>
    </w:p>
    <w:p>
      <w:r>
        <w:rPr>
          <w:b w:val="0"/>
          <w:sz w:val="22"/>
        </w:rPr>
        <w:t>The Deliverables shall not be reused on another project, materially modified or used for another purpose without the prior written approval of the Second Party. The Second Party shall not be liable for any unauthorized modification, reuse, or use of preliminary or superseded documents.</w:t>
      </w:r>
    </w:p>
    <w:p>
      <w:r>
        <w:rPr>
          <w:b w:val="0"/>
          <w:sz w:val="22"/>
        </w:rPr>
        <w:t>Each Party shall keep confidential the non-public commercial, financial and technical information received from the other Party and shall disclose it only to persons requiring it for the Project or where required by law. This obligation shall continue for five years after completion or termination.</w:t>
      </w:r>
    </w:p>
    <w:p>
      <w:r>
        <w:rPr>
          <w:b/>
          <w:sz w:val="22"/>
        </w:rPr>
        <w:t>Article Nine</w:t>
      </w:r>
    </w:p>
    <w:p>
      <w:r>
        <w:rPr>
          <w:b/>
          <w:sz w:val="22"/>
        </w:rPr>
        <w:t>Professional Responsibility and Liability</w:t>
      </w:r>
    </w:p>
    <w:p>
      <w:r>
        <w:rPr>
          <w:b w:val="0"/>
          <w:sz w:val="22"/>
        </w:rPr>
        <w:t>The Second Party shall be liable only for direct losses proven to have resulted from its breach of this Agreement or failure to exercise the agreed professional standard of care. It shall not be liable for indirect or consequential loss, loss of profit, revenue or opportunity, contractor delay, defective workmanship, inaccurate information supplied by others, specialist designs prepared by third parties, unauthorized modifications or failure to obtain approval for reasons outside its responsibility.</w:t>
      </w:r>
    </w:p>
    <w:p>
      <w:r>
        <w:rPr>
          <w:b w:val="0"/>
          <w:sz w:val="22"/>
        </w:rPr>
        <w:t>To the extent permitted by the laws of the Kingdom of Saudi Arabia, the total aggregate liability of the Second Party arising from this Agreement shall not exceed the total Contract Price excluding VAT. This limitation shall not apply to fraud, willful misconduct or any liability that cannot legally be limited.</w:t>
      </w:r>
    </w:p>
    <w:p>
      <w:r>
        <w:rPr>
          <w:b w:val="0"/>
          <w:sz w:val="22"/>
        </w:rPr>
        <w:t>Where a loss is caused by several parties, the Second Party shall be responsible only for the proportion attributable to its own breach. The First Party shall promptly notify the Second Party of any alleged error and allow it a reasonable opportunity to investigate and correct the matter.</w:t>
      </w:r>
    </w:p>
    <w:p>
      <w:r>
        <w:rPr>
          <w:b/>
          <w:sz w:val="24"/>
          <w:shd w:val="clear" w:color="auto" w:fill="FFFF00"/>
        </w:rPr>
        <w:t>Article 9.X — Insurance</w:t>
      </w:r>
    </w:p>
    <w:p>
      <w:r>
        <w:rPr>
          <w:b w:val="0"/>
          <w:sz w:val="22"/>
          <w:shd w:val="clear" w:color="auto" w:fill="FFFF00"/>
        </w:rPr>
        <w:t>X.1 The First Party (Samaya) shall procure and maintain Professional Indemnity (PI) Insurance covering the Second Party's Services under this Agreement, with minimum limits of SAR 5,000,000 per claim and SAR 10,000,000 in aggregate.</w:t>
      </w:r>
    </w:p>
    <w:p>
      <w:r>
        <w:rPr>
          <w:b w:val="0"/>
          <w:sz w:val="22"/>
          <w:shd w:val="clear" w:color="auto" w:fill="FFFF00"/>
        </w:rPr>
        <w:t>X.2 The Second Party (AD Engineering) shall be named as a covered consultant under the First Party's PI policy.</w:t>
      </w:r>
    </w:p>
    <w:p>
      <w:r>
        <w:rPr>
          <w:b w:val="0"/>
          <w:sz w:val="22"/>
          <w:shd w:val="clear" w:color="auto" w:fill="FFFF00"/>
        </w:rPr>
        <w:t>X.3 The Second Party is not required to maintain separate PI insurance for this Agreement.</w:t>
      </w:r>
    </w:p>
    <w:p>
      <w:r>
        <w:rPr>
          <w:b w:val="0"/>
          <w:sz w:val="22"/>
          <w:shd w:val="clear" w:color="auto" w:fill="FFFF00"/>
        </w:rPr>
        <w:t>X.4 The First Party shall deliver a Certificate of Insurance to the Second Party before the Notice to Proceed (NTP).</w:t>
      </w:r>
    </w:p>
    <w:p>
      <w:r>
        <w:rPr>
          <w:b w:val="0"/>
          <w:sz w:val="22"/>
          <w:shd w:val="clear" w:color="auto" w:fill="FFFF00"/>
        </w:rPr>
        <w:t>X.5 The Second Party shall maintain, at its own cost: (a) Public Liability Insurance with a limit of not less than SAR 1,000,000 per occurrence, covering bodily injury and property damage arising from site visits. The First Party shall be named as an additional insured under this policy. (b) Workers' Compensation / Employer Liability Insurance covering all personnel of the Second Party in compliance with Saudi Labor Law.</w:t>
      </w:r>
    </w:p>
    <w:p>
      <w:r>
        <w:rPr>
          <w:b w:val="0"/>
          <w:sz w:val="22"/>
          <w:shd w:val="clear" w:color="auto" w:fill="FFFF00"/>
        </w:rPr>
        <w:t>X.6 The Second Party shall provide evidence of renewal of the PL and WC policies not less than thirty (30) days before expiry.</w:t>
      </w:r>
    </w:p>
    <w:p>
      <w:r>
        <w:rPr>
          <w:b w:val="0"/>
          <w:sz w:val="22"/>
          <w:shd w:val="clear" w:color="auto" w:fill="FFFF00"/>
        </w:rPr>
        <w:t>X.7 Failure by the Second Party to maintain the required PL and WC insurances shall constitute a material breach of this Agreement, entitling the First Party to suspend Services and/or terminate under Article 10.</w:t>
      </w:r>
    </w:p>
    <w:p>
      <w:r>
        <w:rPr>
          <w:b/>
          <w:sz w:val="22"/>
        </w:rPr>
        <w:t>Article Ten</w:t>
      </w:r>
    </w:p>
    <w:p>
      <w:r>
        <w:rPr>
          <w:b/>
          <w:sz w:val="22"/>
        </w:rPr>
        <w:t>Suspension, Termination and Force Majeure</w:t>
      </w:r>
    </w:p>
    <w:p>
      <w:r>
        <w:rPr>
          <w:b w:val="0"/>
          <w:sz w:val="22"/>
        </w:rPr>
        <w:t>The First Party may suspend the Services by written notice, in which case the Second Party shall be paid for Services performed, approved expenses and reasonable demobilization and remobilization costs. The Second Party may suspend the Services after five Working Days' written notice if payment is overdue, required information or decisions are not provided, or the First Party commits a material breach preventing performance.</w:t>
      </w:r>
    </w:p>
    <w:p>
      <w:r>
        <w:rPr>
          <w:b w:val="0"/>
          <w:sz w:val="22"/>
        </w:rPr>
        <w:t>Either Party may terminate the Agreement if the other Party fails to remedy a material breach within ten Working Days after written notice, or within five Working Days in the case of non-payment. The First Party may also terminate for convenience upon fifteen calendar days' notice, provided that it pays for completed and partially completed Services, approved expenses, non-cancellable commitments and demobilization costs. If suspension continues for more than thirty calendar days for reasons not attributable to the Second Party, the Second Party may terminate upon seven calendar days' notice.</w:t>
      </w:r>
    </w:p>
    <w:p>
      <w:r>
        <w:rPr>
          <w:b w:val="0"/>
          <w:sz w:val="22"/>
        </w:rPr>
        <w:t>Neither Party shall be liable for delay caused by an event beyond its reasonable control that could not reasonably have been avoided. The affected Party shall notify the other Party and mitigate the effects, and the Second Party shall be entitled to an extension of time. If such event continues for more than thirty consecutive calendar days, either Party may terminate the affected Services. Payment for Services already performed shall remain due.</w:t>
      </w:r>
    </w:p>
    <w:p>
      <w:r>
        <w:rPr>
          <w:b/>
          <w:sz w:val="22"/>
        </w:rPr>
        <w:t>Article Eleven</w:t>
      </w:r>
    </w:p>
    <w:p>
      <w:r>
        <w:rPr>
          <w:b/>
          <w:sz w:val="22"/>
        </w:rPr>
        <w:t>Notices, Governing Law and Disputes</w:t>
      </w:r>
    </w:p>
    <w:p>
      <w:r>
        <w:rPr>
          <w:b w:val="0"/>
          <w:sz w:val="22"/>
        </w:rPr>
        <w:t>All contractual notices shall be in writing and delivered by hand, courier or email to the authorized representatives below. Email notices shall be deemed received on the same Working Day if sent before 3:00 p.m., or on the following Working Day if sent later, provided no delivery-failure notice is received. Routine technical correspondence shall not amend this Agreement unless clearly identified and approved as a contractual instruction.</w:t>
      </w:r>
    </w:p>
    <w:p>
      <w:r>
        <w:rPr>
          <w:b w:val="0"/>
          <w:sz w:val="22"/>
        </w:rPr>
        <w:t>This Agreement shall be governed by the laws and regulations of the Kingdom of Saudi Arabia. Any dispute shall first be referred to the authorized representatives of the Parties for amicable settlement. If unresolved within fifteen Working Days, it shall be referred to senior management for a further ten Working Days, after which either Party may refer the dispute to the competent courts of the Kingdom of Saudi Arabia, with the courts of Riyadh having territorial jurisdiction to the extent permitted by law.</w:t>
      </w:r>
    </w:p>
    <w:p>
      <w:r>
        <w:rPr>
          <w:b w:val="0"/>
          <w:sz w:val="22"/>
        </w:rPr>
        <w:t>During any dispute, the Parties shall continue performing their undisputed obligations, and the First Party shall continue paying all undisputed amounts.</w:t>
      </w:r>
    </w:p>
    <w:p>
      <w:r>
        <w:rPr>
          <w:b/>
          <w:sz w:val="24"/>
          <w:shd w:val="clear" w:color="auto" w:fill="FFFF00"/>
        </w:rPr>
        <w:t>Article 11.X — Coordination Governance and Lessons-Learned</w:t>
      </w:r>
    </w:p>
    <w:p>
      <w:r>
        <w:rPr>
          <w:b w:val="0"/>
          <w:sz w:val="22"/>
          <w:shd w:val="clear" w:color="auto" w:fill="FFFF00"/>
        </w:rPr>
        <w:t>The Parties agree to the following governance cadence to ensure coordination effectiveness throughout the duration of this Agreement: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shd w:val="clear" w:color="auto" w:fill="FFFF00"/>
              </w:rPr>
              <w:t>Cadence</w:t>
            </w:r>
          </w:p>
        </w:tc>
        <w:tc>
          <w:tcPr>
            <w:tcW w:type="dxa" w:w="2160"/>
          </w:tcPr>
          <w:p>
            <w:r/>
            <w:r>
              <w:rPr>
                <w:b/>
                <w:sz w:val="18"/>
                <w:shd w:val="clear" w:color="auto" w:fill="FFFF00"/>
              </w:rPr>
              <w:t>Activity</w:t>
            </w:r>
          </w:p>
        </w:tc>
        <w:tc>
          <w:tcPr>
            <w:tcW w:type="dxa" w:w="2160"/>
          </w:tcPr>
          <w:p>
            <w:r/>
            <w:r>
              <w:rPr>
                <w:b/>
                <w:sz w:val="18"/>
                <w:shd w:val="clear" w:color="auto" w:fill="FFFF00"/>
              </w:rPr>
              <w:t>Owner</w:t>
            </w:r>
          </w:p>
        </w:tc>
        <w:tc>
          <w:tcPr>
            <w:tcW w:type="dxa" w:w="2160"/>
          </w:tcPr>
          <w:p>
            <w:r/>
            <w:r>
              <w:rPr>
                <w:b/>
                <w:sz w:val="18"/>
                <w:shd w:val="clear" w:color="auto" w:fill="FFFF00"/>
              </w:rPr>
              <w:t>Output</w:t>
            </w:r>
          </w:p>
        </w:tc>
      </w:tr>
      <w:tr>
        <w:tc>
          <w:tcPr>
            <w:tcW w:type="dxa" w:w="2160"/>
          </w:tcPr>
          <w:p>
            <w:r/>
            <w:r>
              <w:rPr>
                <w:sz w:val="18"/>
                <w:shd w:val="clear" w:color="auto" w:fill="FFFF00"/>
              </w:rPr>
              <w:t>Weekly</w:t>
            </w:r>
          </w:p>
        </w:tc>
        <w:tc>
          <w:tcPr>
            <w:tcW w:type="dxa" w:w="2160"/>
          </w:tcPr>
          <w:p>
            <w:r/>
            <w:r>
              <w:rPr>
                <w:sz w:val="18"/>
                <w:shd w:val="clear" w:color="auto" w:fill="FFFF00"/>
              </w:rPr>
              <w:t>Samaya's BIM meeting notes (per Schedule B)</w:t>
            </w:r>
          </w:p>
        </w:tc>
        <w:tc>
          <w:tcPr>
            <w:tcW w:type="dxa" w:w="2160"/>
          </w:tcPr>
          <w:p>
            <w:r/>
            <w:r>
              <w:rPr>
                <w:sz w:val="18"/>
                <w:shd w:val="clear" w:color="auto" w:fill="FFFF00"/>
              </w:rPr>
              <w:t>Samaya's BIM Manager</w:t>
            </w:r>
          </w:p>
        </w:tc>
        <w:tc>
          <w:tcPr>
            <w:tcW w:type="dxa" w:w="2160"/>
          </w:tcPr>
          <w:p>
            <w:r/>
            <w:r>
              <w:rPr>
                <w:sz w:val="18"/>
                <w:shd w:val="clear" w:color="auto" w:fill="FFFF00"/>
              </w:rPr>
              <w:t>aseer-museum-pm/06_Risk_System/weekly_bim_notes.md</w:t>
            </w:r>
          </w:p>
        </w:tc>
      </w:tr>
      <w:tr>
        <w:tc>
          <w:tcPr>
            <w:tcW w:type="dxa" w:w="2160"/>
          </w:tcPr>
          <w:p>
            <w:r/>
            <w:r>
              <w:rPr>
                <w:sz w:val="18"/>
                <w:shd w:val="clear" w:color="auto" w:fill="FFFF00"/>
              </w:rPr>
              <w:t>Bi-weekly</w:t>
            </w:r>
          </w:p>
        </w:tc>
        <w:tc>
          <w:tcPr>
            <w:tcW w:type="dxa" w:w="2160"/>
          </w:tcPr>
          <w:p>
            <w:r/>
            <w:r>
              <w:rPr>
                <w:sz w:val="18"/>
                <w:shd w:val="clear" w:color="auto" w:fill="FFFF00"/>
              </w:rPr>
              <w:t>Second Party progress review</w:t>
            </w:r>
          </w:p>
        </w:tc>
        <w:tc>
          <w:tcPr>
            <w:tcW w:type="dxa" w:w="2160"/>
          </w:tcPr>
          <w:p>
            <w:r/>
            <w:r>
              <w:rPr>
                <w:sz w:val="18"/>
                <w:shd w:val="clear" w:color="auto" w:fill="FFFF00"/>
              </w:rPr>
              <w:t>Samaya's PMC</w:t>
            </w:r>
          </w:p>
        </w:tc>
        <w:tc>
          <w:tcPr>
            <w:tcW w:type="dxa" w:w="2160"/>
          </w:tcPr>
          <w:p>
            <w:r/>
            <w:r>
              <w:rPr>
                <w:sz w:val="18"/>
                <w:shd w:val="clear" w:color="auto" w:fill="FFFF00"/>
              </w:rPr>
              <w:t>aseer-museum-pm/02_CG_Responses/AD_progress.md</w:t>
            </w:r>
          </w:p>
        </w:tc>
      </w:tr>
      <w:tr>
        <w:tc>
          <w:tcPr>
            <w:tcW w:type="dxa" w:w="2160"/>
          </w:tcPr>
          <w:p>
            <w:r/>
            <w:r>
              <w:rPr>
                <w:sz w:val="18"/>
                <w:shd w:val="clear" w:color="auto" w:fill="FFFF00"/>
              </w:rPr>
              <w:t>Monthly</w:t>
            </w:r>
          </w:p>
        </w:tc>
        <w:tc>
          <w:tcPr>
            <w:tcW w:type="dxa" w:w="2160"/>
          </w:tcPr>
          <w:p>
            <w:r/>
            <w:r>
              <w:rPr>
                <w:sz w:val="18"/>
                <w:shd w:val="clear" w:color="auto" w:fill="FFFF00"/>
              </w:rPr>
              <w:t>Cross-specialist coordination retrospective</w:t>
            </w:r>
          </w:p>
        </w:tc>
        <w:tc>
          <w:tcPr>
            <w:tcW w:type="dxa" w:w="2160"/>
          </w:tcPr>
          <w:p>
            <w:r/>
            <w:r>
              <w:rPr>
                <w:sz w:val="18"/>
                <w:shd w:val="clear" w:color="auto" w:fill="FFFF00"/>
              </w:rPr>
              <w:t>Samaya's PMC</w:t>
            </w:r>
          </w:p>
        </w:tc>
        <w:tc>
          <w:tcPr>
            <w:tcW w:type="dxa" w:w="2160"/>
          </w:tcPr>
          <w:p>
            <w:r/>
            <w:r>
              <w:rPr>
                <w:sz w:val="18"/>
                <w:shd w:val="clear" w:color="auto" w:fill="FFFF00"/>
              </w:rPr>
              <w:t>aseer-museum-pm/06_Risk_System/coordination_lessons.md</w:t>
            </w:r>
          </w:p>
        </w:tc>
      </w:tr>
      <w:tr>
        <w:tc>
          <w:tcPr>
            <w:tcW w:type="dxa" w:w="2160"/>
          </w:tcPr>
          <w:p>
            <w:r/>
            <w:r>
              <w:rPr>
                <w:sz w:val="18"/>
                <w:shd w:val="clear" w:color="auto" w:fill="FFFF00"/>
              </w:rPr>
              <w:t>Quarterly</w:t>
            </w:r>
          </w:p>
        </w:tc>
        <w:tc>
          <w:tcPr>
            <w:tcW w:type="dxa" w:w="2160"/>
          </w:tcPr>
          <w:p>
            <w:r/>
            <w:r>
              <w:rPr>
                <w:sz w:val="18"/>
                <w:shd w:val="clear" w:color="auto" w:fill="FFFF00"/>
              </w:rPr>
              <w:t>Contract lens re-run on this sub-contract</w:t>
            </w:r>
          </w:p>
        </w:tc>
        <w:tc>
          <w:tcPr>
            <w:tcW w:type="dxa" w:w="2160"/>
          </w:tcPr>
          <w:p>
            <w:r/>
            <w:r>
              <w:rPr>
                <w:sz w:val="18"/>
                <w:shd w:val="clear" w:color="auto" w:fill="FFFF00"/>
              </w:rPr>
              <w:t>Sultan (Contract Manager)</w:t>
            </w:r>
          </w:p>
        </w:tc>
        <w:tc>
          <w:tcPr>
            <w:tcW w:type="dxa" w:w="2160"/>
          </w:tcPr>
          <w:p>
            <w:r/>
            <w:r>
              <w:rPr>
                <w:sz w:val="18"/>
                <w:shd w:val="clear" w:color="auto" w:fill="FFFF00"/>
              </w:rPr>
              <w:t>hermes-memory/training/_lens_reports/</w:t>
            </w:r>
          </w:p>
        </w:tc>
      </w:tr>
      <w:tr>
        <w:tc>
          <w:tcPr>
            <w:tcW w:type="dxa" w:w="2160"/>
          </w:tcPr>
          <w:p>
            <w:r/>
            <w:r>
              <w:rPr>
                <w:sz w:val="18"/>
                <w:shd w:val="clear" w:color="auto" w:fill="FFFF00"/>
              </w:rPr>
              <w:t>At handover</w:t>
            </w:r>
          </w:p>
        </w:tc>
        <w:tc>
          <w:tcPr>
            <w:tcW w:type="dxa" w:w="2160"/>
          </w:tcPr>
          <w:p>
            <w:r/>
            <w:r>
              <w:rPr>
                <w:sz w:val="18"/>
                <w:shd w:val="clear" w:color="auto" w:fill="FFFF00"/>
              </w:rPr>
              <w:t>Full retrospective</w:t>
            </w:r>
          </w:p>
        </w:tc>
        <w:tc>
          <w:tcPr>
            <w:tcW w:type="dxa" w:w="2160"/>
          </w:tcPr>
          <w:p>
            <w:r/>
            <w:r>
              <w:rPr>
                <w:sz w:val="18"/>
                <w:shd w:val="clear" w:color="auto" w:fill="FFFF00"/>
              </w:rPr>
              <w:t>Sultan + Samaya PMC</w:t>
            </w:r>
          </w:p>
        </w:tc>
        <w:tc>
          <w:tcPr>
            <w:tcW w:type="dxa" w:w="2160"/>
          </w:tcPr>
          <w:p>
            <w:r/>
            <w:r>
              <w:rPr>
                <w:sz w:val="18"/>
                <w:shd w:val="clear" w:color="auto" w:fill="FFFF00"/>
              </w:rPr>
              <w:t>aseer-museum-pm/99_Archive/AD_Engineering_retrospective.md</w:t>
            </w:r>
          </w:p>
        </w:tc>
      </w:tr>
    </w:tbl>
    <w:p>
      <w:r>
        <w:rPr>
          <w:b w:val="0"/>
          <w:sz w:val="22"/>
          <w:shd w:val="clear" w:color="auto" w:fill="FFFF00"/>
        </w:rPr>
        <w:t>Contract Manager: Sultan (Technical Office Manager) — single point of contact for contractual issues. Day-to-day coordination: Samaya PMC.</w:t>
      </w:r>
    </w:p>
    <w:p>
      <w:r>
        <w:rPr>
          <w:b w:val="0"/>
          <w:sz w:val="22"/>
          <w:shd w:val="clear" w:color="auto" w:fill="FFFF00"/>
        </w:rPr>
        <w:t>File location: Authoritative versions of all governance files live in aseer-museum-pm/06_Risk_System/. Cross-project lessons may be copied to hermes-memory/training/ for broader learning.</w:t>
      </w:r>
    </w:p>
    <w:p>
      <w:r>
        <w:rPr>
          <w:b w:val="0"/>
          <w:sz w:val="22"/>
          <w:shd w:val="clear" w:color="auto" w:fill="FFFF00"/>
        </w:rPr>
        <w:t>The Second Party shall participate in all weekly and bi-weekly activities listed above. Monthly, quarterly, and at-handover activities may be conducted by the First Party without the Second Party's participation, with output shared with the Second Party within ten (10) Working Days of completion.</w:t>
      </w:r>
    </w:p>
    <w:p>
      <w:r>
        <w:rPr>
          <w:b/>
          <w:sz w:val="24"/>
          <w:shd w:val="clear" w:color="auto" w:fill="FFFF00"/>
        </w:rPr>
        <w:t>Article 11.Y — Issue Resolution Path</w:t>
      </w:r>
    </w:p>
    <w:p>
      <w:r>
        <w:rPr>
          <w:b w:val="0"/>
          <w:sz w:val="22"/>
          <w:shd w:val="clear" w:color="auto" w:fill="FFFF00"/>
        </w:rPr>
        <w:t>For coordination disputes arising under Schedule B (RACI Matrix), the Parties shall follow this escalation path:</w:t>
      </w:r>
    </w:p>
    <w:p>
      <w:r>
        <w:rPr>
          <w:b w:val="0"/>
          <w:sz w:val="22"/>
          <w:shd w:val="clear" w:color="auto" w:fill="FFFF00"/>
        </w:rPr>
        <w:t>Level 1 — Direct specialist-to-specialist: Twenty-four (24) hours from identification of the dispute. Resolution by mutual agreement between the affected specialists. Documented in the weekly BIM meeting notes.</w:t>
      </w:r>
    </w:p>
    <w:p>
      <w:r>
        <w:rPr>
          <w:b w:val="0"/>
          <w:sz w:val="22"/>
          <w:shd w:val="clear" w:color="auto" w:fill="FFFF00"/>
        </w:rPr>
        <w:t>Level 2 — Samaya BIM Manager: Triggered if Level 1 unresolved within twenty-four (24) hours. Forty-eight (48) hours to arbitrate. Decision is binding on technical coordination matters (e.g., clash resolution, drawing sequence).</w:t>
      </w:r>
    </w:p>
    <w:p>
      <w:r>
        <w:rPr>
          <w:b w:val="0"/>
          <w:sz w:val="22"/>
          <w:shd w:val="clear" w:color="auto" w:fill="FFFF00"/>
        </w:rPr>
        <w:t>Level 3 — Samaya PMC (Adel Darwish): Triggered if Level 2 disputed, or if the dispute has commercial or schedule impact. One (1) week to arbitrate. Decision is binding on commercial and schedule matters.</w:t>
      </w:r>
    </w:p>
    <w:p>
      <w:r>
        <w:rPr>
          <w:b w:val="0"/>
          <w:sz w:val="22"/>
          <w:shd w:val="clear" w:color="auto" w:fill="FFFF00"/>
        </w:rPr>
        <w:t>Level 4 — Consultant (CG): Triggered if Level 3 disputed, or if the dispute affects design intent. Final, contractually binding decision on design intent matters.</w:t>
      </w:r>
    </w:p>
    <w:p>
      <w:r>
        <w:rPr>
          <w:b w:val="0"/>
          <w:sz w:val="22"/>
          <w:shd w:val="clear" w:color="auto" w:fill="FFFF00"/>
        </w:rPr>
        <w:t>Level 5 — Project Director + Contract Manager (Sultan): Triggered if Level 4 disputed, or if the dispute involves contractual interpretation. Final authority on contractual interpretation.</w:t>
      </w:r>
    </w:p>
    <w:p>
      <w:r>
        <w:rPr>
          <w:b w:val="0"/>
          <w:sz w:val="22"/>
          <w:shd w:val="clear" w:color="auto" w:fill="FFFF00"/>
        </w:rPr>
        <w:t>Design work continues in parallel with the escalation. No party may pause design work pending resolution of a coordination dispute unless explicitly agreed by both Parties in writing.</w:t>
      </w:r>
    </w:p>
    <w:p>
      <w:r>
        <w:rPr>
          <w:b/>
          <w:sz w:val="22"/>
        </w:rPr>
        <w:t>Article Twelve</w:t>
      </w:r>
    </w:p>
    <w:p>
      <w:r>
        <w:rPr>
          <w:b/>
          <w:sz w:val="22"/>
        </w:rPr>
        <w:t>Final Provisions</w:t>
      </w:r>
    </w:p>
    <w:p>
      <w:r>
        <w:rPr>
          <w:b w:val="0"/>
          <w:sz w:val="22"/>
        </w:rPr>
        <w:t>This Agreement and its attachments constitute the entire agreement between the Parties concerning the Services. No amendment, waiver or assignment shall be effective unless made in writing and approved by the authorized representatives of both Parties.</w:t>
      </w:r>
    </w:p>
    <w:p>
      <w:r>
        <w:rPr>
          <w:b w:val="0"/>
          <w:sz w:val="22"/>
        </w:rPr>
        <w:t>If any provision is found invalid or unenforceable, the remaining provisions shall remain effective. Failure by either Party to enforce a right shall not constitute a waiver of that right.</w:t>
      </w:r>
    </w:p>
    <w:p>
      <w:r>
        <w:rPr>
          <w:b w:val="0"/>
          <w:sz w:val="22"/>
        </w:rPr>
        <w:t>This Agreement is executed and written in English. It may be signed in counterparts or electronically, and the provisions concerning payment, confidentiality, intellectual property, liability, governing law and dispute resolution shall survive completion or termination.</w:t>
      </w:r>
    </w:p>
    <w:p>
      <w:r>
        <w:rPr>
          <w:b/>
          <w:sz w:val="28"/>
          <w:shd w:val="clear" w:color="auto" w:fill="FFFF00"/>
        </w:rPr>
        <w:t>SCHEDULE B — COORDINATION RACI MATRIX</w:t>
      </w:r>
    </w:p>
    <w:p>
      <w:r>
        <w:rPr>
          <w:b w:val="0"/>
          <w:sz w:val="22"/>
          <w:shd w:val="clear" w:color="auto" w:fill="FFFF00"/>
        </w:rPr>
        <w:t>Definitions: R = Responsible (does the work); A = Accountable (signs off); C = Consulted (input required); I = Informed (notified).</w:t>
      </w:r>
    </w:p>
    <w:p>
      <w:r>
        <w:rPr>
          <w:b w:val="0"/>
          <w:sz w:val="22"/>
          <w:shd w:val="clear" w:color="auto" w:fill="FFFF00"/>
        </w:rPr>
        <w:t>Tie-breaker authority: Samaya PMC (Adel Darwish) has final arbitration authority for cross-discipline coordination disputes. BIM Manager chairs the weekly meeting.</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
              <w:rPr>
                <w:b/>
                <w:sz w:val="14"/>
                <w:shd w:val="clear" w:color="auto" w:fill="FFFF00"/>
              </w:rPr>
              <w:t>#</w:t>
            </w:r>
          </w:p>
        </w:tc>
        <w:tc>
          <w:tcPr>
            <w:tcW w:type="dxa" w:w="720"/>
          </w:tcPr>
          <w:p>
            <w:r/>
            <w:r>
              <w:rPr>
                <w:b/>
                <w:sz w:val="14"/>
                <w:shd w:val="clear" w:color="auto" w:fill="FFFF00"/>
              </w:rPr>
              <w:t>Activity</w:t>
            </w:r>
          </w:p>
        </w:tc>
        <w:tc>
          <w:tcPr>
            <w:tcW w:type="dxa" w:w="720"/>
          </w:tcPr>
          <w:p>
            <w:r/>
            <w:r>
              <w:rPr>
                <w:b/>
                <w:sz w:val="14"/>
                <w:shd w:val="clear" w:color="auto" w:fill="FFFF00"/>
              </w:rPr>
              <w:t>Samaya (BIM Mgr)</w:t>
            </w:r>
          </w:p>
        </w:tc>
        <w:tc>
          <w:tcPr>
            <w:tcW w:type="dxa" w:w="720"/>
          </w:tcPr>
          <w:p>
            <w:r/>
            <w:r>
              <w:rPr>
                <w:b/>
                <w:sz w:val="14"/>
                <w:shd w:val="clear" w:color="auto" w:fill="FFFF00"/>
              </w:rPr>
              <w:t>AD Engineering</w:t>
            </w:r>
          </w:p>
        </w:tc>
        <w:tc>
          <w:tcPr>
            <w:tcW w:type="dxa" w:w="720"/>
          </w:tcPr>
          <w:p>
            <w:r/>
            <w:r>
              <w:rPr>
                <w:b/>
                <w:sz w:val="14"/>
                <w:shd w:val="clear" w:color="auto" w:fill="FFFF00"/>
              </w:rPr>
              <w:t>Studio ZNA</w:t>
            </w:r>
          </w:p>
        </w:tc>
        <w:tc>
          <w:tcPr>
            <w:tcW w:type="dxa" w:w="720"/>
          </w:tcPr>
          <w:p>
            <w:r/>
            <w:r>
              <w:rPr>
                <w:b/>
                <w:sz w:val="14"/>
                <w:shd w:val="clear" w:color="auto" w:fill="FFFF00"/>
              </w:rPr>
              <w:t>Rawasin (AV/IT)</w:t>
            </w:r>
          </w:p>
        </w:tc>
        <w:tc>
          <w:tcPr>
            <w:tcW w:type="dxa" w:w="720"/>
          </w:tcPr>
          <w:p>
            <w:r/>
            <w:r>
              <w:rPr>
                <w:b/>
                <w:sz w:val="14"/>
                <w:shd w:val="clear" w:color="auto" w:fill="FFFF00"/>
              </w:rPr>
              <w:t>NRS (Arch)</w:t>
            </w:r>
          </w:p>
        </w:tc>
        <w:tc>
          <w:tcPr>
            <w:tcW w:type="dxa" w:w="720"/>
          </w:tcPr>
          <w:p>
            <w:r/>
            <w:r>
              <w:rPr>
                <w:b/>
                <w:sz w:val="14"/>
                <w:shd w:val="clear" w:color="auto" w:fill="FFFF00"/>
              </w:rPr>
              <w:t>Glasbau Hahn</w:t>
            </w:r>
          </w:p>
        </w:tc>
        <w:tc>
          <w:tcPr>
            <w:tcW w:type="dxa" w:w="720"/>
          </w:tcPr>
          <w:p>
            <w:r/>
            <w:r>
              <w:rPr>
                <w:b/>
                <w:sz w:val="14"/>
                <w:shd w:val="clear" w:color="auto" w:fill="FFFF00"/>
              </w:rPr>
              <w:t>Nama (FLS)</w:t>
            </w:r>
          </w:p>
        </w:tc>
        <w:tc>
          <w:tcPr>
            <w:tcW w:type="dxa" w:w="720"/>
          </w:tcPr>
          <w:p>
            <w:r/>
            <w:r>
              <w:rPr>
                <w:b/>
                <w:sz w:val="14"/>
                <w:shd w:val="clear" w:color="auto" w:fill="FFFF00"/>
              </w:rPr>
              <w:t>Lumotion</w:t>
            </w:r>
          </w:p>
        </w:tc>
        <w:tc>
          <w:tcPr>
            <w:tcW w:type="dxa" w:w="720"/>
          </w:tcPr>
          <w:p>
            <w:r/>
            <w:r>
              <w:rPr>
                <w:b/>
                <w:sz w:val="14"/>
                <w:shd w:val="clear" w:color="auto" w:fill="FFFF00"/>
              </w:rPr>
              <w:t>Evergreen</w:t>
            </w:r>
          </w:p>
        </w:tc>
        <w:tc>
          <w:tcPr>
            <w:tcW w:type="dxa" w:w="720"/>
          </w:tcPr>
          <w:p>
            <w:r/>
            <w:r>
              <w:rPr>
                <w:b/>
                <w:sz w:val="14"/>
                <w:shd w:val="clear" w:color="auto" w:fill="FFFF00"/>
              </w:rPr>
              <w:t>CG (PMC)</w:t>
            </w:r>
          </w:p>
        </w:tc>
      </w:tr>
      <w:tr>
        <w:tc>
          <w:tcPr>
            <w:tcW w:type="dxa" w:w="720"/>
          </w:tcPr>
          <w:p>
            <w:r/>
            <w:r>
              <w:rPr>
                <w:sz w:val="14"/>
                <w:shd w:val="clear" w:color="auto" w:fill="FFFF00"/>
              </w:rPr>
              <w:t>1</w:t>
            </w:r>
          </w:p>
        </w:tc>
        <w:tc>
          <w:tcPr>
            <w:tcW w:type="dxa" w:w="720"/>
          </w:tcPr>
          <w:p>
            <w:r/>
            <w:r>
              <w:rPr>
                <w:sz w:val="14"/>
                <w:shd w:val="clear" w:color="auto" w:fill="FFFF00"/>
              </w:rPr>
              <w:t>Federated BIM model</w:t>
            </w:r>
          </w:p>
        </w:tc>
        <w:tc>
          <w:tcPr>
            <w:tcW w:type="dxa" w:w="720"/>
          </w:tcPr>
          <w:p>
            <w:r/>
            <w:r>
              <w:rPr>
                <w:sz w:val="14"/>
                <w:shd w:val="clear" w:color="auto" w:fill="FFFF00"/>
              </w:rPr>
              <w:t>R/A</w:t>
            </w:r>
          </w:p>
        </w:tc>
        <w:tc>
          <w:tcPr>
            <w:tcW w:type="dxa" w:w="720"/>
          </w:tcPr>
          <w:p>
            <w:r/>
            <w:r>
              <w:rPr>
                <w:sz w:val="14"/>
                <w:shd w:val="clear" w:color="auto" w:fill="FFFF00"/>
              </w:rPr>
              <w:t>C</w:t>
            </w:r>
          </w:p>
        </w:tc>
        <w:tc>
          <w:tcPr>
            <w:tcW w:type="dxa" w:w="720"/>
          </w:tcPr>
          <w:p>
            <w:r/>
            <w:r>
              <w:rPr>
                <w:sz w:val="14"/>
                <w:shd w:val="clear" w:color="auto" w:fill="FFFF00"/>
              </w:rPr>
              <w:t>C</w:t>
            </w:r>
          </w:p>
        </w:tc>
        <w:tc>
          <w:tcPr>
            <w:tcW w:type="dxa" w:w="720"/>
          </w:tcPr>
          <w:p>
            <w:r/>
            <w:r>
              <w:rPr>
                <w:sz w:val="14"/>
                <w:shd w:val="clear" w:color="auto" w:fill="FFFF00"/>
              </w:rPr>
              <w:t>C</w:t>
            </w:r>
          </w:p>
        </w:tc>
        <w:tc>
          <w:tcPr>
            <w:tcW w:type="dxa" w:w="720"/>
          </w:tcPr>
          <w:p>
            <w:r/>
            <w:r>
              <w:rPr>
                <w:sz w:val="14"/>
                <w:shd w:val="clear" w:color="auto" w:fill="FFFF00"/>
              </w:rPr>
              <w:t>C</w:t>
            </w:r>
          </w:p>
        </w:tc>
        <w:tc>
          <w:tcPr>
            <w:tcW w:type="dxa" w:w="720"/>
          </w:tcPr>
          <w:p>
            <w:r/>
            <w:r>
              <w:rPr>
                <w:sz w:val="14"/>
                <w:shd w:val="clear" w:color="auto" w:fill="FFFF00"/>
              </w:rPr>
              <w:t>C</w:t>
            </w:r>
          </w:p>
        </w:tc>
        <w:tc>
          <w:tcPr>
            <w:tcW w:type="dxa" w:w="720"/>
          </w:tcPr>
          <w:p>
            <w:r/>
            <w:r>
              <w:rPr>
                <w:sz w:val="14"/>
                <w:shd w:val="clear" w:color="auto" w:fill="FFFF00"/>
              </w:rPr>
              <w:t>C</w:t>
            </w:r>
          </w:p>
        </w:tc>
        <w:tc>
          <w:tcPr>
            <w:tcW w:type="dxa" w:w="720"/>
          </w:tcPr>
          <w:p>
            <w:r/>
            <w:r>
              <w:rPr>
                <w:sz w:val="14"/>
                <w:shd w:val="clear" w:color="auto" w:fill="FFFF00"/>
              </w:rPr>
              <w:t>C</w:t>
            </w:r>
          </w:p>
        </w:tc>
        <w:tc>
          <w:tcPr>
            <w:tcW w:type="dxa" w:w="720"/>
          </w:tcPr>
          <w:p>
            <w:r/>
            <w:r>
              <w:rPr>
                <w:sz w:val="14"/>
                <w:shd w:val="clear" w:color="auto" w:fill="FFFF00"/>
              </w:rPr>
              <w:t>C</w:t>
            </w:r>
          </w:p>
        </w:tc>
        <w:tc>
          <w:tcPr>
            <w:tcW w:type="dxa" w:w="720"/>
          </w:tcPr>
          <w:p>
            <w:r/>
            <w:r>
              <w:rPr>
                <w:sz w:val="14"/>
                <w:shd w:val="clear" w:color="auto" w:fill="FFFF00"/>
              </w:rPr>
              <w:t>I</w:t>
            </w:r>
          </w:p>
        </w:tc>
      </w:tr>
      <w:tr>
        <w:tc>
          <w:tcPr>
            <w:tcW w:type="dxa" w:w="720"/>
          </w:tcPr>
          <w:p>
            <w:r/>
            <w:r>
              <w:rPr>
                <w:sz w:val="14"/>
                <w:shd w:val="clear" w:color="auto" w:fill="FFFF00"/>
              </w:rPr>
              <w:t>2</w:t>
            </w:r>
          </w:p>
        </w:tc>
        <w:tc>
          <w:tcPr>
            <w:tcW w:type="dxa" w:w="720"/>
          </w:tcPr>
          <w:p>
            <w:r/>
            <w:r>
              <w:rPr>
                <w:sz w:val="14"/>
                <w:shd w:val="clear" w:color="auto" w:fill="FFFF00"/>
              </w:rPr>
              <w:t>Weekly BIM coordination meeting</w:t>
            </w:r>
          </w:p>
        </w:tc>
        <w:tc>
          <w:tcPr>
            <w:tcW w:type="dxa" w:w="720"/>
          </w:tcPr>
          <w:p>
            <w:r/>
            <w:r>
              <w:rPr>
                <w:sz w:val="14"/>
                <w:shd w:val="clear" w:color="auto" w:fill="FFFF00"/>
              </w:rPr>
              <w:t>R/A</w:t>
            </w:r>
          </w:p>
        </w:tc>
        <w:tc>
          <w:tcPr>
            <w:tcW w:type="dxa" w:w="720"/>
          </w:tcPr>
          <w:p>
            <w:r/>
            <w:r>
              <w:rPr>
                <w:sz w:val="14"/>
                <w:shd w:val="clear" w:color="auto" w:fill="FFFF00"/>
              </w:rPr>
              <w:t>R</w:t>
            </w:r>
          </w:p>
        </w:tc>
        <w:tc>
          <w:tcPr>
            <w:tcW w:type="dxa" w:w="720"/>
          </w:tcPr>
          <w:p>
            <w:r/>
            <w:r>
              <w:rPr>
                <w:sz w:val="14"/>
                <w:shd w:val="clear" w:color="auto" w:fill="FFFF00"/>
              </w:rPr>
              <w:t>R</w:t>
            </w:r>
          </w:p>
        </w:tc>
        <w:tc>
          <w:tcPr>
            <w:tcW w:type="dxa" w:w="720"/>
          </w:tcPr>
          <w:p>
            <w:r/>
            <w:r>
              <w:rPr>
                <w:sz w:val="14"/>
                <w:shd w:val="clear" w:color="auto" w:fill="FFFF00"/>
              </w:rPr>
              <w:t>R</w:t>
            </w:r>
          </w:p>
        </w:tc>
        <w:tc>
          <w:tcPr>
            <w:tcW w:type="dxa" w:w="720"/>
          </w:tcPr>
          <w:p>
            <w:r/>
            <w:r>
              <w:rPr>
                <w:sz w:val="14"/>
                <w:shd w:val="clear" w:color="auto" w:fill="FFFF00"/>
              </w:rPr>
              <w:t>R (invite)</w:t>
            </w:r>
          </w:p>
        </w:tc>
        <w:tc>
          <w:tcPr>
            <w:tcW w:type="dxa" w:w="720"/>
          </w:tcPr>
          <w:p>
            <w:r/>
            <w:r>
              <w:rPr>
                <w:sz w:val="14"/>
                <w:shd w:val="clear" w:color="auto" w:fill="FFFF00"/>
              </w:rPr>
              <w:t>I</w:t>
            </w:r>
          </w:p>
        </w:tc>
        <w:tc>
          <w:tcPr>
            <w:tcW w:type="dxa" w:w="720"/>
          </w:tcPr>
          <w:p>
            <w:r/>
            <w:r>
              <w:rPr>
                <w:sz w:val="14"/>
                <w:shd w:val="clear" w:color="auto" w:fill="FFFF00"/>
              </w:rPr>
              <w:t>I (invite)</w:t>
            </w:r>
          </w:p>
        </w:tc>
        <w:tc>
          <w:tcPr>
            <w:tcW w:type="dxa" w:w="720"/>
          </w:tcPr>
          <w:p>
            <w:r/>
            <w:r>
              <w:rPr>
                <w:sz w:val="14"/>
                <w:shd w:val="clear" w:color="auto" w:fill="FFFF00"/>
              </w:rPr>
              <w:t>I</w:t>
            </w:r>
          </w:p>
        </w:tc>
        <w:tc>
          <w:tcPr>
            <w:tcW w:type="dxa" w:w="720"/>
          </w:tcPr>
          <w:p>
            <w:r/>
            <w:r>
              <w:rPr>
                <w:sz w:val="14"/>
                <w:shd w:val="clear" w:color="auto" w:fill="FFFF00"/>
              </w:rPr>
              <w:t>I</w:t>
            </w:r>
          </w:p>
        </w:tc>
        <w:tc>
          <w:tcPr>
            <w:tcW w:type="dxa" w:w="720"/>
          </w:tcPr>
          <w:p>
            <w:r/>
            <w:r>
              <w:rPr>
                <w:sz w:val="14"/>
                <w:shd w:val="clear" w:color="auto" w:fill="FFFF00"/>
              </w:rPr>
              <w:t>I</w:t>
            </w:r>
          </w:p>
        </w:tc>
      </w:tr>
      <w:tr>
        <w:tc>
          <w:tcPr>
            <w:tcW w:type="dxa" w:w="720"/>
          </w:tcPr>
          <w:p>
            <w:r/>
            <w:r>
              <w:rPr>
                <w:sz w:val="14"/>
                <w:shd w:val="clear" w:color="auto" w:fill="FFFF00"/>
              </w:rPr>
              <w:t>3</w:t>
            </w:r>
          </w:p>
        </w:tc>
        <w:tc>
          <w:tcPr>
            <w:tcW w:type="dxa" w:w="720"/>
          </w:tcPr>
          <w:p>
            <w:r/>
            <w:r>
              <w:rPr>
                <w:sz w:val="14"/>
                <w:shd w:val="clear" w:color="auto" w:fill="FFFF00"/>
              </w:rPr>
              <w:t>Mech-Elec coordination</w:t>
            </w:r>
          </w:p>
        </w:tc>
        <w:tc>
          <w:tcPr>
            <w:tcW w:type="dxa" w:w="720"/>
          </w:tcPr>
          <w:p>
            <w:r/>
            <w:r>
              <w:rPr>
                <w:sz w:val="14"/>
                <w:shd w:val="clear" w:color="auto" w:fill="FFFF00"/>
              </w:rPr>
              <w:t>I</w:t>
            </w:r>
          </w:p>
        </w:tc>
        <w:tc>
          <w:tcPr>
            <w:tcW w:type="dxa" w:w="720"/>
          </w:tcPr>
          <w:p>
            <w:r/>
            <w:r>
              <w:rPr>
                <w:sz w:val="14"/>
                <w:shd w:val="clear" w:color="auto" w:fill="FFFF00"/>
              </w:rPr>
              <w:t>R/A</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I</w:t>
            </w:r>
          </w:p>
        </w:tc>
      </w:tr>
      <w:tr>
        <w:tc>
          <w:tcPr>
            <w:tcW w:type="dxa" w:w="720"/>
          </w:tcPr>
          <w:p>
            <w:r/>
            <w:r>
              <w:rPr>
                <w:sz w:val="14"/>
                <w:shd w:val="clear" w:color="auto" w:fill="FFFF00"/>
              </w:rPr>
              <w:t>4</w:t>
            </w:r>
          </w:p>
        </w:tc>
        <w:tc>
          <w:tcPr>
            <w:tcW w:type="dxa" w:w="720"/>
          </w:tcPr>
          <w:p>
            <w:r/>
            <w:r>
              <w:rPr>
                <w:sz w:val="14"/>
                <w:shd w:val="clear" w:color="auto" w:fill="FFFF00"/>
              </w:rPr>
              <w:t>Lighting-Electrical coordination</w:t>
            </w:r>
          </w:p>
        </w:tc>
        <w:tc>
          <w:tcPr>
            <w:tcW w:type="dxa" w:w="720"/>
          </w:tcPr>
          <w:p>
            <w:r/>
            <w:r>
              <w:rPr>
                <w:sz w:val="14"/>
                <w:shd w:val="clear" w:color="auto" w:fill="FFFF00"/>
              </w:rPr>
              <w:t>I</w:t>
            </w:r>
          </w:p>
        </w:tc>
        <w:tc>
          <w:tcPr>
            <w:tcW w:type="dxa" w:w="720"/>
          </w:tcPr>
          <w:p>
            <w:r/>
            <w:r>
              <w:rPr>
                <w:sz w:val="14"/>
                <w:shd w:val="clear" w:color="auto" w:fill="FFFF00"/>
              </w:rPr>
              <w:t>R</w:t>
            </w:r>
          </w:p>
        </w:tc>
        <w:tc>
          <w:tcPr>
            <w:tcW w:type="dxa" w:w="720"/>
          </w:tcPr>
          <w:p>
            <w:r/>
            <w:r>
              <w:rPr>
                <w:sz w:val="14"/>
                <w:shd w:val="clear" w:color="auto" w:fill="FFFF00"/>
              </w:rPr>
              <w:t>A</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I</w:t>
            </w:r>
          </w:p>
        </w:tc>
      </w:tr>
      <w:tr>
        <w:tc>
          <w:tcPr>
            <w:tcW w:type="dxa" w:w="720"/>
          </w:tcPr>
          <w:p>
            <w:r/>
            <w:r>
              <w:rPr>
                <w:sz w:val="14"/>
                <w:shd w:val="clear" w:color="auto" w:fill="FFFF00"/>
              </w:rPr>
              <w:t>5</w:t>
            </w:r>
          </w:p>
        </w:tc>
        <w:tc>
          <w:tcPr>
            <w:tcW w:type="dxa" w:w="720"/>
          </w:tcPr>
          <w:p>
            <w:r/>
            <w:r>
              <w:rPr>
                <w:sz w:val="14"/>
                <w:shd w:val="clear" w:color="auto" w:fill="FFFF00"/>
              </w:rPr>
              <w:t>AV-Electrical coordination</w:t>
            </w:r>
          </w:p>
        </w:tc>
        <w:tc>
          <w:tcPr>
            <w:tcW w:type="dxa" w:w="720"/>
          </w:tcPr>
          <w:p>
            <w:r/>
            <w:r>
              <w:rPr>
                <w:sz w:val="14"/>
                <w:shd w:val="clear" w:color="auto" w:fill="FFFF00"/>
              </w:rPr>
              <w:t>I</w:t>
            </w:r>
          </w:p>
        </w:tc>
        <w:tc>
          <w:tcPr>
            <w:tcW w:type="dxa" w:w="720"/>
          </w:tcPr>
          <w:p>
            <w:r/>
            <w:r>
              <w:rPr>
                <w:sz w:val="14"/>
                <w:shd w:val="clear" w:color="auto" w:fill="FFFF00"/>
              </w:rPr>
              <w:t>R</w:t>
            </w:r>
          </w:p>
        </w:tc>
        <w:tc>
          <w:tcPr>
            <w:tcW w:type="dxa" w:w="720"/>
          </w:tcPr>
          <w:p>
            <w:r/>
            <w:r>
              <w:rPr>
                <w:sz w:val="14"/>
                <w:shd w:val="clear" w:color="auto" w:fill="FFFF00"/>
              </w:rPr>
              <w:t>—</w:t>
            </w:r>
          </w:p>
        </w:tc>
        <w:tc>
          <w:tcPr>
            <w:tcW w:type="dxa" w:w="720"/>
          </w:tcPr>
          <w:p>
            <w:r/>
            <w:r>
              <w:rPr>
                <w:sz w:val="14"/>
                <w:shd w:val="clear" w:color="auto" w:fill="FFFF00"/>
              </w:rPr>
              <w:t>A</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I</w:t>
            </w:r>
          </w:p>
        </w:tc>
      </w:tr>
      <w:tr>
        <w:tc>
          <w:tcPr>
            <w:tcW w:type="dxa" w:w="720"/>
          </w:tcPr>
          <w:p>
            <w:r/>
            <w:r>
              <w:rPr>
                <w:sz w:val="14"/>
                <w:shd w:val="clear" w:color="auto" w:fill="FFFF00"/>
              </w:rPr>
              <w:t>6</w:t>
            </w:r>
          </w:p>
        </w:tc>
        <w:tc>
          <w:tcPr>
            <w:tcW w:type="dxa" w:w="720"/>
          </w:tcPr>
          <w:p>
            <w:r/>
            <w:r>
              <w:rPr>
                <w:sz w:val="14"/>
                <w:shd w:val="clear" w:color="auto" w:fill="FFFF00"/>
              </w:rPr>
              <w:t>BMS-MEP coordination</w:t>
            </w:r>
          </w:p>
        </w:tc>
        <w:tc>
          <w:tcPr>
            <w:tcW w:type="dxa" w:w="720"/>
          </w:tcPr>
          <w:p>
            <w:r/>
            <w:r>
              <w:rPr>
                <w:sz w:val="14"/>
                <w:shd w:val="clear" w:color="auto" w:fill="FFFF00"/>
              </w:rPr>
              <w:t>I</w:t>
            </w:r>
          </w:p>
        </w:tc>
        <w:tc>
          <w:tcPr>
            <w:tcW w:type="dxa" w:w="720"/>
          </w:tcPr>
          <w:p>
            <w:r/>
            <w:r>
              <w:rPr>
                <w:sz w:val="14"/>
                <w:shd w:val="clear" w:color="auto" w:fill="FFFF00"/>
              </w:rPr>
              <w:t>R</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I</w:t>
            </w:r>
          </w:p>
        </w:tc>
      </w:tr>
      <w:tr>
        <w:tc>
          <w:tcPr>
            <w:tcW w:type="dxa" w:w="720"/>
          </w:tcPr>
          <w:p>
            <w:r/>
            <w:r>
              <w:rPr>
                <w:sz w:val="14"/>
                <w:shd w:val="clear" w:color="auto" w:fill="FFFF00"/>
              </w:rPr>
              <w:t>7</w:t>
            </w:r>
          </w:p>
        </w:tc>
        <w:tc>
          <w:tcPr>
            <w:tcW w:type="dxa" w:w="720"/>
          </w:tcPr>
          <w:p>
            <w:r/>
            <w:r>
              <w:rPr>
                <w:sz w:val="14"/>
                <w:shd w:val="clear" w:color="auto" w:fill="FFFF00"/>
              </w:rPr>
              <w:t>Showcase-Electrical coordination</w:t>
            </w:r>
          </w:p>
        </w:tc>
        <w:tc>
          <w:tcPr>
            <w:tcW w:type="dxa" w:w="720"/>
          </w:tcPr>
          <w:p>
            <w:r/>
            <w:r>
              <w:rPr>
                <w:sz w:val="14"/>
                <w:shd w:val="clear" w:color="auto" w:fill="FFFF00"/>
              </w:rPr>
              <w:t>I</w:t>
            </w:r>
          </w:p>
        </w:tc>
        <w:tc>
          <w:tcPr>
            <w:tcW w:type="dxa" w:w="720"/>
          </w:tcPr>
          <w:p>
            <w:r/>
            <w:r>
              <w:rPr>
                <w:sz w:val="14"/>
                <w:shd w:val="clear" w:color="auto" w:fill="FFFF00"/>
              </w:rPr>
              <w:t>R</w:t>
            </w:r>
          </w:p>
        </w:tc>
        <w:tc>
          <w:tcPr>
            <w:tcW w:type="dxa" w:w="720"/>
          </w:tcPr>
          <w:p>
            <w:r/>
            <w:r>
              <w:rPr>
                <w:sz w:val="14"/>
                <w:shd w:val="clear" w:color="auto" w:fill="FFFF00"/>
              </w:rPr>
              <w:t>C</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A</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I</w:t>
            </w:r>
          </w:p>
        </w:tc>
      </w:tr>
      <w:tr>
        <w:tc>
          <w:tcPr>
            <w:tcW w:type="dxa" w:w="720"/>
          </w:tcPr>
          <w:p>
            <w:r/>
            <w:r>
              <w:rPr>
                <w:sz w:val="14"/>
                <w:shd w:val="clear" w:color="auto" w:fill="FFFF00"/>
              </w:rPr>
              <w:t>8</w:t>
            </w:r>
          </w:p>
        </w:tc>
        <w:tc>
          <w:tcPr>
            <w:tcW w:type="dxa" w:w="720"/>
          </w:tcPr>
          <w:p>
            <w:r/>
            <w:r>
              <w:rPr>
                <w:sz w:val="14"/>
                <w:shd w:val="clear" w:color="auto" w:fill="FFFF00"/>
              </w:rPr>
              <w:t>FLS design coordination</w:t>
            </w:r>
          </w:p>
        </w:tc>
        <w:tc>
          <w:tcPr>
            <w:tcW w:type="dxa" w:w="720"/>
          </w:tcPr>
          <w:p>
            <w:r/>
            <w:r>
              <w:rPr>
                <w:sz w:val="14"/>
                <w:shd w:val="clear" w:color="auto" w:fill="FFFF00"/>
              </w:rPr>
              <w:t>I</w:t>
            </w:r>
          </w:p>
        </w:tc>
        <w:tc>
          <w:tcPr>
            <w:tcW w:type="dxa" w:w="720"/>
          </w:tcPr>
          <w:p>
            <w:r/>
            <w:r>
              <w:rPr>
                <w:sz w:val="14"/>
                <w:shd w:val="clear" w:color="auto" w:fill="FFFF00"/>
              </w:rPr>
              <w:t>C</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A</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R (review)</w:t>
            </w:r>
          </w:p>
        </w:tc>
      </w:tr>
      <w:tr>
        <w:tc>
          <w:tcPr>
            <w:tcW w:type="dxa" w:w="720"/>
          </w:tcPr>
          <w:p>
            <w:r/>
            <w:r>
              <w:rPr>
                <w:sz w:val="14"/>
                <w:shd w:val="clear" w:color="auto" w:fill="FFFF00"/>
              </w:rPr>
              <w:t>9</w:t>
            </w:r>
          </w:p>
        </w:tc>
        <w:tc>
          <w:tcPr>
            <w:tcW w:type="dxa" w:w="720"/>
          </w:tcPr>
          <w:p>
            <w:r/>
            <w:r>
              <w:rPr>
                <w:sz w:val="14"/>
                <w:shd w:val="clear" w:color="auto" w:fill="FFFF00"/>
              </w:rPr>
              <w:t>Architectural-MEP interfaces</w:t>
            </w:r>
          </w:p>
        </w:tc>
        <w:tc>
          <w:tcPr>
            <w:tcW w:type="dxa" w:w="720"/>
          </w:tcPr>
          <w:p>
            <w:r/>
            <w:r>
              <w:rPr>
                <w:sz w:val="14"/>
                <w:shd w:val="clear" w:color="auto" w:fill="FFFF00"/>
              </w:rPr>
              <w:t>I</w:t>
            </w:r>
          </w:p>
        </w:tc>
        <w:tc>
          <w:tcPr>
            <w:tcW w:type="dxa" w:w="720"/>
          </w:tcPr>
          <w:p>
            <w:r/>
            <w:r>
              <w:rPr>
                <w:sz w:val="14"/>
                <w:shd w:val="clear" w:color="auto" w:fill="FFFF00"/>
              </w:rPr>
              <w:t>C</w:t>
            </w:r>
          </w:p>
        </w:tc>
        <w:tc>
          <w:tcPr>
            <w:tcW w:type="dxa" w:w="720"/>
          </w:tcPr>
          <w:p>
            <w:r/>
            <w:r>
              <w:rPr>
                <w:sz w:val="14"/>
                <w:shd w:val="clear" w:color="auto" w:fill="FFFF00"/>
              </w:rPr>
              <w:t>C</w:t>
            </w:r>
          </w:p>
        </w:tc>
        <w:tc>
          <w:tcPr>
            <w:tcW w:type="dxa" w:w="720"/>
          </w:tcPr>
          <w:p>
            <w:r/>
            <w:r>
              <w:rPr>
                <w:sz w:val="14"/>
                <w:shd w:val="clear" w:color="auto" w:fill="FFFF00"/>
              </w:rPr>
              <w:t>C</w:t>
            </w:r>
          </w:p>
        </w:tc>
        <w:tc>
          <w:tcPr>
            <w:tcW w:type="dxa" w:w="720"/>
          </w:tcPr>
          <w:p>
            <w:r/>
            <w:r>
              <w:rPr>
                <w:sz w:val="14"/>
                <w:shd w:val="clear" w:color="auto" w:fill="FFFF00"/>
              </w:rPr>
              <w:t>A</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R (review)</w:t>
            </w:r>
          </w:p>
        </w:tc>
      </w:tr>
      <w:tr>
        <w:tc>
          <w:tcPr>
            <w:tcW w:type="dxa" w:w="720"/>
          </w:tcPr>
          <w:p>
            <w:r/>
            <w:r>
              <w:rPr>
                <w:sz w:val="14"/>
                <w:shd w:val="clear" w:color="auto" w:fill="FFFF00"/>
              </w:rPr>
              <w:t>10</w:t>
            </w:r>
          </w:p>
        </w:tc>
        <w:tc>
          <w:tcPr>
            <w:tcW w:type="dxa" w:w="720"/>
          </w:tcPr>
          <w:p>
            <w:r/>
            <w:r>
              <w:rPr>
                <w:sz w:val="14"/>
                <w:shd w:val="clear" w:color="auto" w:fill="FFFF00"/>
              </w:rPr>
              <w:t>Interactive applications coordination</w:t>
            </w:r>
          </w:p>
        </w:tc>
        <w:tc>
          <w:tcPr>
            <w:tcW w:type="dxa" w:w="720"/>
          </w:tcPr>
          <w:p>
            <w:r/>
            <w:r>
              <w:rPr>
                <w:sz w:val="14"/>
                <w:shd w:val="clear" w:color="auto" w:fill="FFFF00"/>
              </w:rPr>
              <w:t>I</w:t>
            </w:r>
          </w:p>
        </w:tc>
        <w:tc>
          <w:tcPr>
            <w:tcW w:type="dxa" w:w="720"/>
          </w:tcPr>
          <w:p>
            <w:r/>
            <w:r>
              <w:rPr>
                <w:sz w:val="14"/>
                <w:shd w:val="clear" w:color="auto" w:fill="FFFF00"/>
              </w:rPr>
              <w:t>C</w:t>
            </w:r>
          </w:p>
        </w:tc>
        <w:tc>
          <w:tcPr>
            <w:tcW w:type="dxa" w:w="720"/>
          </w:tcPr>
          <w:p>
            <w:r/>
            <w:r>
              <w:rPr>
                <w:sz w:val="14"/>
                <w:shd w:val="clear" w:color="auto" w:fill="FFFF00"/>
              </w:rPr>
              <w:t>—</w:t>
            </w:r>
          </w:p>
        </w:tc>
        <w:tc>
          <w:tcPr>
            <w:tcW w:type="dxa" w:w="720"/>
          </w:tcPr>
          <w:p>
            <w:r/>
            <w:r>
              <w:rPr>
                <w:sz w:val="14"/>
                <w:shd w:val="clear" w:color="auto" w:fill="FFFF00"/>
              </w:rPr>
              <w:t>C</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A</w:t>
            </w:r>
          </w:p>
        </w:tc>
        <w:tc>
          <w:tcPr>
            <w:tcW w:type="dxa" w:w="720"/>
          </w:tcPr>
          <w:p>
            <w:r/>
            <w:r>
              <w:rPr>
                <w:sz w:val="14"/>
                <w:shd w:val="clear" w:color="auto" w:fill="FFFF00"/>
              </w:rPr>
              <w:t>—</w:t>
            </w:r>
          </w:p>
        </w:tc>
        <w:tc>
          <w:tcPr>
            <w:tcW w:type="dxa" w:w="720"/>
          </w:tcPr>
          <w:p>
            <w:r/>
            <w:r>
              <w:rPr>
                <w:sz w:val="14"/>
                <w:shd w:val="clear" w:color="auto" w:fill="FFFF00"/>
              </w:rPr>
              <w:t>I</w:t>
            </w:r>
          </w:p>
        </w:tc>
      </w:tr>
      <w:tr>
        <w:tc>
          <w:tcPr>
            <w:tcW w:type="dxa" w:w="720"/>
          </w:tcPr>
          <w:p>
            <w:r/>
            <w:r>
              <w:rPr>
                <w:sz w:val="14"/>
                <w:shd w:val="clear" w:color="auto" w:fill="FFFF00"/>
              </w:rPr>
              <w:t>11</w:t>
            </w:r>
          </w:p>
        </w:tc>
        <w:tc>
          <w:tcPr>
            <w:tcW w:type="dxa" w:w="720"/>
          </w:tcPr>
          <w:p>
            <w:r/>
            <w:r>
              <w:rPr>
                <w:sz w:val="14"/>
                <w:shd w:val="clear" w:color="auto" w:fill="FFFF00"/>
              </w:rPr>
              <w:t>Landscape coordination</w:t>
            </w:r>
          </w:p>
        </w:tc>
        <w:tc>
          <w:tcPr>
            <w:tcW w:type="dxa" w:w="720"/>
          </w:tcPr>
          <w:p>
            <w:r/>
            <w:r>
              <w:rPr>
                <w:sz w:val="14"/>
                <w:shd w:val="clear" w:color="auto" w:fill="FFFF00"/>
              </w:rPr>
              <w:t>I</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A</w:t>
            </w:r>
          </w:p>
        </w:tc>
        <w:tc>
          <w:tcPr>
            <w:tcW w:type="dxa" w:w="720"/>
          </w:tcPr>
          <w:p>
            <w:r/>
            <w:r>
              <w:rPr>
                <w:sz w:val="14"/>
                <w:shd w:val="clear" w:color="auto" w:fill="FFFF00"/>
              </w:rPr>
              <w:t>I</w:t>
            </w:r>
          </w:p>
        </w:tc>
      </w:tr>
      <w:tr>
        <w:tc>
          <w:tcPr>
            <w:tcW w:type="dxa" w:w="720"/>
          </w:tcPr>
          <w:p>
            <w:r/>
            <w:r>
              <w:rPr>
                <w:sz w:val="14"/>
                <w:shd w:val="clear" w:color="auto" w:fill="FFFF00"/>
              </w:rPr>
              <w:t>12</w:t>
            </w:r>
          </w:p>
        </w:tc>
        <w:tc>
          <w:tcPr>
            <w:tcW w:type="dxa" w:w="720"/>
          </w:tcPr>
          <w:p>
            <w:r/>
            <w:r>
              <w:rPr>
                <w:sz w:val="14"/>
                <w:shd w:val="clear" w:color="auto" w:fill="FFFF00"/>
              </w:rPr>
              <w:t>Civil Defense submission (MEP)</w:t>
            </w:r>
          </w:p>
        </w:tc>
        <w:tc>
          <w:tcPr>
            <w:tcW w:type="dxa" w:w="720"/>
          </w:tcPr>
          <w:p>
            <w:r/>
            <w:r>
              <w:rPr>
                <w:sz w:val="14"/>
                <w:shd w:val="clear" w:color="auto" w:fill="FFFF00"/>
              </w:rPr>
              <w:t>C</w:t>
            </w:r>
          </w:p>
        </w:tc>
        <w:tc>
          <w:tcPr>
            <w:tcW w:type="dxa" w:w="720"/>
          </w:tcPr>
          <w:p>
            <w:r/>
            <w:r>
              <w:rPr>
                <w:sz w:val="14"/>
                <w:shd w:val="clear" w:color="auto" w:fill="FFFF00"/>
              </w:rPr>
              <w:t>R/A</w:t>
            </w:r>
          </w:p>
        </w:tc>
        <w:tc>
          <w:tcPr>
            <w:tcW w:type="dxa" w:w="720"/>
          </w:tcPr>
          <w:p>
            <w:r/>
            <w:r>
              <w:rPr>
                <w:sz w:val="14"/>
                <w:shd w:val="clear" w:color="auto" w:fill="FFFF00"/>
              </w:rPr>
              <w:t>C</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C</w:t>
            </w:r>
          </w:p>
        </w:tc>
        <w:tc>
          <w:tcPr>
            <w:tcW w:type="dxa" w:w="720"/>
          </w:tcPr>
          <w:p>
            <w:r/>
            <w:r>
              <w:rPr>
                <w:sz w:val="14"/>
                <w:shd w:val="clear" w:color="auto" w:fill="FFFF00"/>
              </w:rPr>
              <w:t>—</w:t>
            </w:r>
          </w:p>
        </w:tc>
        <w:tc>
          <w:tcPr>
            <w:tcW w:type="dxa" w:w="720"/>
          </w:tcPr>
          <w:p>
            <w:r/>
            <w:r>
              <w:rPr>
                <w:sz w:val="14"/>
                <w:shd w:val="clear" w:color="auto" w:fill="FFFF00"/>
              </w:rPr>
              <w:t>—</w:t>
            </w:r>
          </w:p>
        </w:tc>
        <w:tc>
          <w:tcPr>
            <w:tcW w:type="dxa" w:w="720"/>
          </w:tcPr>
          <w:p>
            <w:r/>
            <w:r>
              <w:rPr>
                <w:sz w:val="14"/>
                <w:shd w:val="clear" w:color="auto" w:fill="FFFF00"/>
              </w:rPr>
              <w:t>R (approval)</w:t>
            </w:r>
          </w:p>
        </w:tc>
      </w:tr>
    </w:tbl>
    <w:p>
      <w:r>
        <w:rPr>
          <w:b w:val="0"/>
          <w:sz w:val="22"/>
          <w:shd w:val="clear" w:color="auto" w:fill="FFFF00"/>
        </w:rPr>
        <w:t>Attendance rules: Weekly BIM meetings: Samaya BIM Manager + AD Engineering + Studio ZNA + Rawasin + NRS (by invitation) + Nama (by invitation). Bi-weekly: Lumotion + Evergreen (only if active in that phase). Monthly: All 11 specialists.</w:t>
      </w:r>
    </w:p>
    <w:p>
      <w:r>
        <w:rPr>
          <w:b w:val="0"/>
          <w:sz w:val="22"/>
          <w:shd w:val="clear" w:color="auto" w:fill="FFFF00"/>
        </w:rPr>
        <w:t>Coordination meetings (per RACI) are included in the Contract Price up to two (2) meetings per discipline. Additional meetings shall be treated as variations under Article 7.</w:t>
      </w:r>
    </w:p>
    <w:p>
      <w:r>
        <w:rPr>
          <w:b/>
          <w:sz w:val="22"/>
        </w:rPr>
        <w:t>Contract Attachments</w:t>
      </w:r>
    </w:p>
    <w:p>
      <w:r>
        <w:rPr>
          <w:b w:val="0"/>
          <w:sz w:val="22"/>
        </w:rPr>
        <w:t>The following attachments shall form an integral part of this Agreement:</w:t>
      </w:r>
    </w:p>
    <w:p>
      <w:r>
        <w:rPr>
          <w:b w:val="0"/>
          <w:sz w:val="22"/>
        </w:rPr>
        <w:t>Attachment No. 1: Technical and Financial Proposal No. 7/2475/26/B.D dated 14 July 2026.</w:t>
      </w:r>
    </w:p>
    <w:p>
      <w:r>
        <w:rPr>
          <w:b w:val="0"/>
          <w:sz w:val="22"/>
          <w:shd w:val="clear" w:color="auto" w:fill="FFFF00"/>
        </w:rPr>
        <w:t>Attachment No. 2: Schedule B — Coordination RACI Matrix (as set out above).</w:t>
      </w:r>
    </w:p>
    <w:p>
      <w:r>
        <w:rPr>
          <w:b/>
          <w:sz w:val="22"/>
        </w:rPr>
        <w:t>Signatures</w:t>
      </w:r>
    </w:p>
    <w:p>
      <w:r>
        <w:rPr>
          <w:b w:val="0"/>
          <w:sz w:val="22"/>
        </w:rPr>
        <w:t>This Agreement has been executed in two original copies, with each Party receiving one copy for implementation.</w:t>
      </w:r>
    </w:p>
    <w:p>
      <w:r>
        <w:rPr>
          <w:b w:val="0"/>
          <w:sz w:val="22"/>
        </w:rPr>
        <w:t>First Party</w:t>
      </w:r>
    </w:p>
    <w:p>
      <w:r>
        <w:rPr>
          <w:b w:val="0"/>
          <w:sz w:val="22"/>
        </w:rPr>
        <w:t>Samaya Investment Company</w:t>
      </w:r>
    </w:p>
    <w:p>
      <w:r>
        <w:rPr>
          <w:b w:val="0"/>
          <w:sz w:val="22"/>
        </w:rPr>
        <w:t>Name: __________________________________</w:t>
      </w:r>
    </w:p>
    <w:p>
      <w:r>
        <w:rPr>
          <w:b w:val="0"/>
          <w:sz w:val="22"/>
        </w:rPr>
        <w:t>Position: ________________________________</w:t>
      </w:r>
    </w:p>
    <w:p>
      <w:r>
        <w:rPr>
          <w:b w:val="0"/>
          <w:sz w:val="22"/>
        </w:rPr>
        <w:t>Signature: _______________________________</w:t>
      </w:r>
    </w:p>
    <w:p>
      <w:r>
        <w:rPr>
          <w:b w:val="0"/>
          <w:sz w:val="22"/>
        </w:rPr>
        <w:t>Company Stamp:</w:t>
      </w:r>
    </w:p>
    <w:p>
      <w:r>
        <w:rPr>
          <w:b w:val="0"/>
          <w:sz w:val="22"/>
        </w:rPr>
        <w:t>Date: ___________________________________</w:t>
      </w:r>
    </w:p>
    <w:p>
      <w:r>
        <w:rPr>
          <w:b w:val="0"/>
          <w:sz w:val="22"/>
        </w:rPr>
        <w:t>Second Party</w:t>
      </w:r>
    </w:p>
    <w:p>
      <w:r>
        <w:rPr>
          <w:b w:val="0"/>
          <w:sz w:val="22"/>
        </w:rPr>
        <w:t>AD Engineering Co.</w:t>
      </w:r>
    </w:p>
    <w:p>
      <w:r>
        <w:rPr>
          <w:b w:val="0"/>
          <w:sz w:val="22"/>
        </w:rPr>
        <w:t>Name: Eng. Eassa A. Al Tamimi</w:t>
      </w:r>
    </w:p>
    <w:p>
      <w:r>
        <w:rPr>
          <w:b w:val="0"/>
          <w:sz w:val="22"/>
        </w:rPr>
        <w:t>Position: Chief Executive Officer</w:t>
      </w:r>
    </w:p>
    <w:p>
      <w:r>
        <w:rPr>
          <w:b w:val="0"/>
          <w:sz w:val="22"/>
        </w:rPr>
        <w:t>Signature: _______________________________</w:t>
      </w:r>
    </w:p>
    <w:p>
      <w:r>
        <w:rPr>
          <w:b w:val="0"/>
          <w:sz w:val="22"/>
        </w:rPr>
        <w:t>Company Stamp:</w:t>
      </w:r>
    </w:p>
    <w:p>
      <w:r>
        <w:rPr>
          <w:b w:val="0"/>
          <w:sz w:val="22"/>
        </w:rPr>
        <w:t>Date: 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