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EF55" w14:textId="19906F39" w:rsidR="003445AC" w:rsidRDefault="003445AC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Жасанды</w:t>
      </w:r>
      <w:proofErr w:type="spellEnd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интеллект </w:t>
      </w:r>
      <w:proofErr w:type="spellStart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математика: </w:t>
      </w:r>
      <w:proofErr w:type="spellStart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Қазіргі</w:t>
      </w:r>
      <w:proofErr w:type="spellEnd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заманғы</w:t>
      </w:r>
      <w:proofErr w:type="spellEnd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оқу</w:t>
      </w:r>
      <w:proofErr w:type="spellEnd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үдерісіндегі</w:t>
      </w:r>
      <w:proofErr w:type="spellEnd"/>
      <w:r w:rsidRPr="00344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интеграция</w:t>
      </w:r>
    </w:p>
    <w:p w14:paraId="5507AA48" w14:textId="3EF37893" w:rsidR="005E7982" w:rsidRPr="005E7982" w:rsidRDefault="005E7982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Тайболдна Қ.Р., Оспанова Д.М., Асқар Ш.Ұ.</w:t>
      </w:r>
    </w:p>
    <w:p w14:paraId="5759832C" w14:textId="77777777" w:rsidR="005E7982" w:rsidRDefault="005E7982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</w:pPr>
    </w:p>
    <w:p w14:paraId="3EF75E5D" w14:textId="1D656ED4" w:rsidR="002833F9" w:rsidRPr="002833F9" w:rsidRDefault="00263995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</w:pPr>
      <w:r w:rsidRPr="002833F9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>Тайболдина Қ</w:t>
      </w:r>
      <w:r w:rsidR="002833F9" w:rsidRPr="002833F9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>аламқас Радылхановна</w:t>
      </w:r>
    </w:p>
    <w:p w14:paraId="65E1914F" w14:textId="77777777" w:rsidR="005E7982" w:rsidRPr="005E7982" w:rsidRDefault="005E7982" w:rsidP="005E7982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SHAKARIM UNIVERSITY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Семей қаласы, Қазақстан, </w:t>
      </w:r>
      <w:hyperlink r:id="rId5" w:history="1">
        <w:r w:rsidRPr="002E7189">
          <w:rPr>
            <w:rStyle w:val="a7"/>
            <w:rFonts w:ascii="Times New Roman" w:eastAsia="Times New Roman" w:hAnsi="Times New Roman" w:cs="Times New Roman"/>
            <w:sz w:val="24"/>
            <w:szCs w:val="24"/>
            <w:lang w:val="kk-KZ" w:eastAsia="ru-RU"/>
          </w:rPr>
          <w:t>k.taiboldina@shakarim.kz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03125D0A" w14:textId="3B8B7DA1" w:rsidR="002833F9" w:rsidRDefault="00263995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</w:pPr>
      <w:r w:rsidRPr="002833F9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>Оспанова Д</w:t>
      </w:r>
      <w:r w:rsidR="002833F9" w:rsidRPr="002833F9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>инара Манаповна</w:t>
      </w:r>
    </w:p>
    <w:p w14:paraId="715F4C06" w14:textId="6D5C6028" w:rsidR="005E7982" w:rsidRPr="005E7982" w:rsidRDefault="005E7982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</w:pPr>
      <w:r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SHAKARIM UNIVERSITY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Семей қаласы, Қазақстан, </w:t>
      </w:r>
      <w:hyperlink r:id="rId6" w:history="1">
        <w:r w:rsidRPr="002E7189">
          <w:rPr>
            <w:rStyle w:val="a7"/>
            <w:rFonts w:ascii="Times New Roman" w:eastAsia="Times New Roman" w:hAnsi="Times New Roman" w:cs="Times New Roman"/>
            <w:sz w:val="24"/>
            <w:szCs w:val="24"/>
            <w:lang w:val="kk-KZ" w:eastAsia="ru-RU"/>
          </w:rPr>
          <w:t>d.ospanova@shakarim.kz</w:t>
        </w:r>
      </w:hyperlink>
      <w:r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09BB5702" w14:textId="0E2FE9E9" w:rsidR="00263995" w:rsidRDefault="00263995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</w:pPr>
      <w:r w:rsidRPr="002833F9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 xml:space="preserve"> Асқар Ш</w:t>
      </w:r>
      <w:r w:rsidR="002833F9" w:rsidRPr="002833F9"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  <w:t>ырайлым Ұланқызы</w:t>
      </w:r>
    </w:p>
    <w:p w14:paraId="5F2D3D20" w14:textId="5EA8C530" w:rsidR="005E7982" w:rsidRPr="005E7982" w:rsidRDefault="005E7982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kk-KZ" w:eastAsia="ru-RU"/>
        </w:rPr>
      </w:pPr>
      <w:r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SHAKARIM UNIVERSITY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Семей қаласы, Қазақстан,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hyperlink r:id="rId7" w:history="1">
        <w:r w:rsidRPr="002E7189">
          <w:rPr>
            <w:rStyle w:val="a7"/>
            <w:rFonts w:ascii="Times New Roman" w:eastAsia="Times New Roman" w:hAnsi="Times New Roman" w:cs="Times New Roman"/>
            <w:sz w:val="24"/>
            <w:szCs w:val="24"/>
            <w:lang w:val="kk-KZ" w:eastAsia="ru-RU"/>
          </w:rPr>
          <w:t>s.asqar@shakarim.kz</w:t>
        </w:r>
      </w:hyperlink>
      <w:r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0F399D2D" w14:textId="56C9DD89" w:rsidR="003445AC" w:rsidRPr="005E7982" w:rsidRDefault="003445AC" w:rsidP="002833F9">
      <w:pPr>
        <w:widowControl w:val="0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</w:p>
    <w:p w14:paraId="6CB7CE03" w14:textId="77777777" w:rsidR="0049080A" w:rsidRPr="00263995" w:rsidRDefault="0049080A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Цифрлық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сауаттылық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қазіргі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ақпараттық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қоғамдағы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көпсалалы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дағдылардың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адамдарға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технологияларды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пайдалануға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Математиканы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оқытуда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жасанды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интеллект (ЖИ)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технологияларын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осы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сауаттылықты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дамытудың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маңызды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бөлігіне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айналып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отыр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2622FF" w14:textId="77777777" w:rsidR="0049080A" w:rsidRPr="00263995" w:rsidRDefault="0049080A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Заманауи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білім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беруде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қолданудың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артықшылықтары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F7546F" w14:textId="46DDC125" w:rsidR="0049080A" w:rsidRPr="00263995" w:rsidRDefault="0049080A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Икемділік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оқушының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қабілетіне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бейімделетін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жүйелер</w:t>
      </w:r>
      <w:proofErr w:type="spellEnd"/>
      <w:r w:rsidR="00FA4A7C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651269A8" w14:textId="444780DB" w:rsidR="0049080A" w:rsidRPr="00263995" w:rsidRDefault="0049080A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Интерактивтілік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диалогтық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форматы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тез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меңгеру</w:t>
      </w:r>
      <w:proofErr w:type="spellEnd"/>
      <w:r w:rsidR="00FA4A7C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6C81BAA1" w14:textId="0627384A" w:rsidR="0049080A" w:rsidRPr="00263995" w:rsidRDefault="0049080A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Автоматтандыру - қателерді тез анықтау және түзету</w:t>
      </w:r>
      <w:r w:rsidR="00FA4A7C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590DFF6E" w14:textId="77777777" w:rsidR="0049080A" w:rsidRPr="00263995" w:rsidRDefault="0049080A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Математика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пәнін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оқытуда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ЖИ-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технологияларды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педагогтардың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цифрлық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құралдарды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меңгеруі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мақалада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ЖИ-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негізделген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әдістердің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математиканы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оқытуға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әсері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болашақтағы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даму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перспективалары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қарастырылады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044046" w14:textId="2777531A" w:rsidR="00FA4A7C" w:rsidRPr="00263995" w:rsidRDefault="00FA4A7C" w:rsidP="002833F9">
      <w:pPr>
        <w:widowControl w:val="0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Математиканы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оқытуды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деңгейге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көтеретін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ЖИ-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технологиялардың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түрлері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қолданылуына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тоқталайық</w:t>
      </w:r>
      <w:proofErr w:type="spellEnd"/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639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ABDFDC8" w14:textId="03F28E2A" w:rsidR="003445AC" w:rsidRPr="003445AC" w:rsidRDefault="003445AC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Біз білетіндей э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лементар математика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курсының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негізгі тақырыптары: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Арифметикалық амалдар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;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Алгебралық өрнектер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;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Геометриялық фигуралар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</w:p>
    <w:p w14:paraId="3EFB65B2" w14:textId="512C8BD2" w:rsidR="003445AC" w:rsidRPr="00263995" w:rsidRDefault="003445AC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  ж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асанды интеллекттің негізгі ұғымдары: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Машиналық оқыту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;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Тері нейрондық желілер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;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Табиғи тілді өңдеу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; </w:t>
      </w: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Компьютерлік көру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5E7982"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[1]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2DB5A500" w14:textId="3CA39149" w:rsidR="003445AC" w:rsidRDefault="003445AC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Мақалада </w:t>
      </w:r>
      <w:r w:rsidR="009F503A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негізгі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сұра</w:t>
      </w:r>
      <w:r w:rsidR="009F503A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ғы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="009F503A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білім алушылар </w:t>
      </w:r>
      <w:r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математика курсын меңгере отырып жасанды интел</w:t>
      </w:r>
      <w:r w:rsidR="009F503A" w:rsidRP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лект әдістерін қолдану дағдыларын қалыптастыру жолдарын 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қарастыру.</w:t>
      </w:r>
    </w:p>
    <w:p w14:paraId="64EE4C9A" w14:textId="340D66E0" w:rsidR="00255ABD" w:rsidRDefault="00255ABD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Қазіргі таңда нейрожелілердің қарқынды дамуының мысалы, </w:t>
      </w:r>
      <w:r w:rsid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олардың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саналуандығынынан байқалады.</w:t>
      </w:r>
    </w:p>
    <w:p w14:paraId="32519EFE" w14:textId="2D766EDD" w:rsidR="00255ABD" w:rsidRPr="00EE380B" w:rsidRDefault="00EE380B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noProof/>
        </w:rPr>
        <w:lastRenderedPageBreak/>
        <w:drawing>
          <wp:inline distT="0" distB="0" distL="0" distR="0" wp14:anchorId="30A7DDA6" wp14:editId="232C902C">
            <wp:extent cx="3068955" cy="2774757"/>
            <wp:effectExtent l="0" t="0" r="0" b="6985"/>
            <wp:docPr id="8" name="Рисунок 8" descr="Экономический потенциал генеративного ИИ: ключевые инсайты из исследования  McKin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Экономический потенциал генеративного ИИ: ключевые инсайты из исследования  McKinse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6"/>
                    <a:stretch/>
                  </pic:blipFill>
                  <pic:spPr bwMode="auto">
                    <a:xfrm>
                      <a:off x="0" y="0"/>
                      <a:ext cx="3082391" cy="27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BFF7515" w14:textId="0FAC9693" w:rsidR="00211F02" w:rsidRDefault="00211F02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1-сурет. Нейрожелілір тізімі</w:t>
      </w:r>
    </w:p>
    <w:p w14:paraId="6B1949CF" w14:textId="77777777" w:rsidR="0049080A" w:rsidRPr="003445AC" w:rsidRDefault="0049080A" w:rsidP="002833F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7FC1059" w14:textId="18F706AE" w:rsidR="003445AC" w:rsidRPr="009F503A" w:rsidRDefault="00C604DF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атематикалық есептерді шешуд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жиі </w:t>
      </w:r>
      <w:r w:rsid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әрі тиімді 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қолдануға болатын тақырыптарды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атап өтуге болад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ы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: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3445AC"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Сызықтық теңдеулерді шешу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="003445AC"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Геометриялық есептерді талдау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="003445AC"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Математикалық дәлелдеулер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Ал, 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келесі 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құралдары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математика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ны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оқытуда қолдан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у, оқу процессіне жылдам енуде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:</w:t>
      </w:r>
    </w:p>
    <w:p w14:paraId="1C0C0DE3" w14:textId="45A09999" w:rsidR="003445AC" w:rsidRPr="003445AC" w:rsidRDefault="003445AC" w:rsidP="002833F9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Адаптивтік оқыту жүйелері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157D7224" w14:textId="3D31681C" w:rsidR="003445AC" w:rsidRPr="003445AC" w:rsidRDefault="003445AC" w:rsidP="002833F9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Интеллектуалды тренажерлер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08909D28" w14:textId="64C41CCE" w:rsidR="003445AC" w:rsidRPr="005E7982" w:rsidRDefault="003445AC" w:rsidP="002833F9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5A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Виртуалды ассистенттер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атап өтуге болады.</w:t>
      </w:r>
      <w:r w:rsidR="005E7982" w:rsidRPr="005E7982">
        <w:rPr>
          <w:rFonts w:ascii="Times New Roman" w:eastAsia="Times New Roman" w:hAnsi="Times New Roman" w:cs="Times New Roman"/>
          <w:sz w:val="24"/>
          <w:szCs w:val="24"/>
          <w:lang w:eastAsia="ru-RU"/>
        </w:rPr>
        <w:t>[2,3]</w:t>
      </w:r>
    </w:p>
    <w:p w14:paraId="32836261" w14:textId="602EB5C5" w:rsidR="009F503A" w:rsidRDefault="0049080A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9080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Адаптивтік оқыту — оқушының деңгейіне бейімделетін ЖИ-жүйе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5E7982" w:rsidRPr="005E7982">
        <w:rPr>
          <w:rFonts w:ascii="Times New Roman" w:eastAsia="Times New Roman" w:hAnsi="Times New Roman" w:cs="Times New Roman"/>
          <w:sz w:val="24"/>
          <w:szCs w:val="24"/>
          <w:lang w:eastAsia="ru-RU"/>
        </w:rPr>
        <w:t>[5]</w:t>
      </w:r>
      <w:r w:rsidRPr="0049080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Оқушылардың білім деңгейіне және оқу жылдамдығына ба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ғытталып-бапталған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Ол әр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оқушыға жеке тапсырмалар мен материалдарды ұсынады (мысалы: ALEKS).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Кері байланыс пен статистика арқылы 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оқушыға 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күрделілік туындатқан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тақырыптар 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анықталады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Интеллектуалды тренажерлер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Практикалық есептерді шешуге көмектеседі (мысалы: Carnegie Learning, Mathletics</w:t>
      </w:r>
      <w:r w:rsid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және т.б.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Бұл жағдайда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 қателерді талдап, түсіндірулер береді.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Ой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ау элементтері арқылы мотивацияны арттырады.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Виртуалды ассистенттер (мысалы: ChatGPT, Socratic)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Сұрақтарға дереу жауап береді және қиындықтарды түсіндіреді.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Дауыстық немесе чат арқылы өзара әрекеттеседі.</w:t>
      </w:r>
      <w:r w:rsid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9F503A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Үй тапсырмасын тексеруге көмектеседі.</w:t>
      </w:r>
    </w:p>
    <w:p w14:paraId="4BEBD1CA" w14:textId="1C80F9D6" w:rsidR="009F503A" w:rsidRPr="0072144D" w:rsidRDefault="0072144D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Бұл құралдардың а</w:t>
      </w:r>
      <w:r w:rsidR="009F503A"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ртықшылықтары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</w:t>
      </w:r>
      <w:r w:rsidR="009F503A"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="009F503A"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еке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оқушы ерекшеліктеріне бағыттап-б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птау, </w:t>
      </w:r>
      <w:r w:rsidR="009F503A"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қолжетімділік, уақытты үнемдеу. </w:t>
      </w:r>
    </w:p>
    <w:p w14:paraId="2E472A09" w14:textId="63AA281F" w:rsidR="009F503A" w:rsidRPr="0072144D" w:rsidRDefault="009F503A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Кемшіліктері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</w:t>
      </w:r>
      <w:r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</w:t>
      </w:r>
      <w:r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дам</w:t>
      </w:r>
      <w:r w:rsid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</w:t>
      </w:r>
      <w:r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байланыс жоқтығы, деректер қауіпсіздігі мәселелері.</w:t>
      </w:r>
    </w:p>
    <w:p w14:paraId="537FBA0A" w14:textId="65F18314" w:rsidR="00547766" w:rsidRDefault="009F503A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ЖИ-технологиялары математиканы оқытуды тиімді, қызықты және әр оқушыға бейімделген етіп жасай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ала</w:t>
      </w:r>
      <w:r w:rsidRP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ды.</w:t>
      </w:r>
      <w:r w:rsidR="007214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3445AC" w:rsidRPr="009F503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Танымал ЖИ-құралдарының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кейбіріне тоқталсақ, 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GeoGebra AI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н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егізгі қолданысы 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еометрия, алгебра, есептеулер және графикалық модельдеу.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Ерекшеліктері</w:t>
      </w:r>
      <w:r w:rsidR="0026399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г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еометриялық фигураларды сызу және талдау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жүргізу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еңдеулерді шешу</w:t>
      </w:r>
      <w:r w:rsidR="00EE380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теңдеулер жүйесін шешу (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kk-KZ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kk-KZ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 w:eastAsia="ru-RU"/>
                    </w:rPr>
                    <m:t>y=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kk-KZ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kk-KZ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 w:eastAsia="ru-RU"/>
                    </w:rPr>
                    <m:t xml:space="preserve">           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kk-KZ" w:eastAsia="ru-RU"/>
                    </w:rPr>
                    <m:t>-6x+3y=0</m:t>
                  </m:r>
                </m:e>
              </m:mr>
            </m:m>
          </m:e>
        </m:d>
      </m:oMath>
      <w:r w:rsidR="00EE380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және графиктерді құру (y = </w:t>
      </w:r>
      <w:r w:rsidR="00FA4A7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x+</w:t>
      </w:r>
      <w:r w:rsidR="00FA4A7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2</w:t>
      </w:r>
      <w:r w:rsidR="00EE380B" w:rsidRPr="00EE380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kk-KZ" w:eastAsia="ru-RU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kk-KZ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kk-KZ" w:eastAsia="ru-RU"/>
              </w:rPr>
              <m:t>2</m:t>
            </m:r>
          </m:sup>
        </m:sSup>
      </m:oMath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).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Есепті д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инамикалық модельдер арқылы түсіндіру (мысалы, функциялардың өзгеруі).</w:t>
      </w:r>
    </w:p>
    <w:p w14:paraId="334069B8" w14:textId="1A369FF7" w:rsidR="00FA4A7C" w:rsidRDefault="00FA4A7C" w:rsidP="002833F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81CEB10" wp14:editId="68EC4BC5">
            <wp:extent cx="1869060" cy="1198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75"/>
                    <a:stretch/>
                  </pic:blipFill>
                  <pic:spPr bwMode="auto">
                    <a:xfrm>
                      <a:off x="0" y="0"/>
                      <a:ext cx="1884175" cy="120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03C2A" wp14:editId="723FF212">
            <wp:extent cx="3029447" cy="1144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311" cy="1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80B">
        <w:rPr>
          <w:noProof/>
        </w:rPr>
        <w:drawing>
          <wp:inline distT="0" distB="0" distL="0" distR="0" wp14:anchorId="02DD30FB" wp14:editId="385ADDA8">
            <wp:extent cx="4921858" cy="1946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291" cy="19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F9C" w14:textId="7A79B453" w:rsidR="00FA4A7C" w:rsidRDefault="005E7982" w:rsidP="002833F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FA4A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FA4A7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сурет.</w:t>
      </w:r>
      <w:r w:rsidR="00FA4A7C" w:rsidRPr="00FA4A7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FA4A7C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GeoGebra AI</w:t>
      </w:r>
      <w:r w:rsidR="00FA4A7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FA4A7C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графикалық модельдеу</w:t>
      </w:r>
      <w:r w:rsidR="00FA4A7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де қолданысы</w:t>
      </w:r>
    </w:p>
    <w:p w14:paraId="5392FF6D" w14:textId="77777777" w:rsidR="00FA4A7C" w:rsidRPr="00FA4A7C" w:rsidRDefault="00FA4A7C" w:rsidP="002833F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261D7204" w14:textId="25FBEBE2" w:rsidR="00547766" w:rsidRDefault="00547766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Артықшылықтары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в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иртуалды сызбалар, интерактивті оқыту.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Тегін және қарапайым интерфейс.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Шектеулері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к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үрделі математикалық дәлелдеулерге қабілеті шектеулі.</w:t>
      </w:r>
    </w:p>
    <w:p w14:paraId="35E68760" w14:textId="2D740DDF" w:rsidR="00547766" w:rsidRPr="005E7982" w:rsidRDefault="00547766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ChatGPT (DeepSeek Chat, GPT-4)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н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егізгі қолданысы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атематикалық есептерді түсіндіру, шешу және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есептің шешу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алгоритмдер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ін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талдау.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Ерекшеліктері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е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септерді қадамдық шешу (алгебра, тригонометрия, есептеулер).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Теорияны түсіндіру және мысалдар келтіру.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Код жазуға көмек (Python, MATLAB арқылы есептеулер).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Артықшылықтары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     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абиғи тілде сұрақтарға жауап беру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к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өптеген тақырыптарды қамтиды (бастауыштан жоғары математикаға дейін).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Шектеулері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к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ейбір шешімдер қате болуы мүмкін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қосымша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тексеру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ді т</w:t>
      </w:r>
      <w:r w:rsidR="0096731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лап етеді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Графикалық визуализация жоқ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тек мәтін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негізінде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5E7982" w:rsidRPr="005E798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[</w:t>
      </w:r>
      <w:r w:rsidR="005E79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4]</w:t>
      </w:r>
    </w:p>
    <w:p w14:paraId="39B733BB" w14:textId="04D7FB23" w:rsidR="00547766" w:rsidRPr="00547766" w:rsidRDefault="00547766" w:rsidP="002833F9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GeoGebra AI – графикалық және геометриялық есептер үшін 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тиімді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7947D415" w14:textId="0B050C5A" w:rsidR="00547766" w:rsidRDefault="00547766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ChatGPT – теорияны түсіндіру және әртүрлі есептерді талдау үшін жақсы.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Білім беру процессінде е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кеуін біріктіріп қолданса, математиканы оқу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білім алушы үшін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тиімді болады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3AAC2517" w14:textId="6ACB5C10" w:rsidR="000E2CDA" w:rsidRDefault="00547766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ЖИ-негізделген оқыту әдістерінің тиімділігі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 қарастырсақ</w:t>
      </w:r>
      <w:r w:rsidR="000E2CDA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: </w:t>
      </w:r>
    </w:p>
    <w:p w14:paraId="26FB7F64" w14:textId="6CF21962" w:rsidR="00547766" w:rsidRPr="00547766" w:rsidRDefault="000E2CDA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еке оқыту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дағы т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иімділігі</w:t>
      </w:r>
      <w:r w:rsid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ә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р оқушының қабілеті және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білім деңгейі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анықталады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Түс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нбеген, толық меңгермеген тақырыптар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автоматты түрде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айқындалып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қосымша жаттығулар ұсын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 мүмк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ншіліктері бар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Жеңілдетілген және күрделі деңгейдегі тапсырмаларды таңдауға мүмкіндік береді.</w:t>
      </w:r>
      <w:r w:rsid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547766"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Мысалдар: Khan Academy, Duolingo, ALEKS.</w:t>
      </w:r>
    </w:p>
    <w:p w14:paraId="2C8F2729" w14:textId="5CB332F0" w:rsidR="00547766" w:rsidRPr="00547766" w:rsidRDefault="00547766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Интерактивті тапсырмалар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да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қолдану о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қу процесін қызықты және практикалық етеді (ойын, виртуалды эксперименттер).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К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ері байланыс арқылы қателерді 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бірден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түзетуге мүмкіндік береді.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Көптілді және визуалды элементтерді қолдан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уға мүмкіншілік мол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Мысалдар: GeoGebra, PhET симуляциялары, MathGames.</w:t>
      </w:r>
    </w:p>
    <w:p w14:paraId="7B94A5BB" w14:textId="38FED3EC" w:rsidR="00547766" w:rsidRPr="00547766" w:rsidRDefault="00547766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Автоматты бағалау жүйелері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есттер мен тапсырмаларды лезде тексеріп, нәтижелерді көрсетеді.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Ұпайлар мен статистика арқылы оқушының дамуын бақылауға көмектеседі.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Мұғалімдердің уақытын үнемдейді.</w:t>
      </w:r>
      <w:r w:rsid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4776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 Мысалдар: Google Forms (автобағалау), Gradescope, Edulastic.</w:t>
      </w:r>
    </w:p>
    <w:p w14:paraId="46CB168D" w14:textId="7CE944BD" w:rsidR="00DF2DB3" w:rsidRPr="00DF2DB3" w:rsidRDefault="00DF2DB3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Алайда, </w:t>
      </w:r>
      <w:r w:rsidR="00763C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қазіргі таңда </w:t>
      </w:r>
      <w:r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ЖИ-модельдері сапалы және әртүрлі деректердің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көп</w:t>
      </w:r>
      <w:r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болмауынан дұрыс жұмыс істемей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қал</w:t>
      </w:r>
      <w:r w:rsidR="00763C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 жағдайы да жиі орын алып отыр</w:t>
      </w:r>
      <w:r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72A3323A" w14:textId="0A4FC00D" w:rsidR="00DF2DB3" w:rsidRPr="00591F4E" w:rsidRDefault="00DF2DB3" w:rsidP="002833F9">
      <w:pPr>
        <w:pStyle w:val="a5"/>
        <w:widowControl w:val="0"/>
        <w:numPr>
          <w:ilvl w:val="0"/>
          <w:numId w:val="17"/>
        </w:num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</w:t>
      </w: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ілдік контекстке ұтымды бейімделу қиын</w:t>
      </w:r>
      <w:r w:rsidR="00763C13"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дық туындатады</w:t>
      </w: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.</w:t>
      </w:r>
    </w:p>
    <w:p w14:paraId="5972F0DD" w14:textId="61E19AE1" w:rsidR="00DF2DB3" w:rsidRPr="00591F4E" w:rsidRDefault="00DF2DB3" w:rsidP="002833F9">
      <w:pPr>
        <w:pStyle w:val="a5"/>
        <w:widowControl w:val="0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Кейбір жауаптар математикалық қателері бар немесе түсіндірмесі жеткіліксіз болуы мүмкін.</w:t>
      </w:r>
    </w:p>
    <w:p w14:paraId="74847F79" w14:textId="26FF8228" w:rsidR="00DF2DB3" w:rsidRPr="00591F4E" w:rsidRDefault="00DF2DB3" w:rsidP="002833F9">
      <w:pPr>
        <w:pStyle w:val="a5"/>
        <w:widowControl w:val="0"/>
        <w:numPr>
          <w:ilvl w:val="0"/>
          <w:numId w:val="17"/>
        </w:num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Күрделі логикалық есептерді шешуде адамның аналитикалық қабілетіне жетпейді.</w:t>
      </w:r>
    </w:p>
    <w:p w14:paraId="241C1D80" w14:textId="15B9C801" w:rsidR="00DF2DB3" w:rsidRPr="00591F4E" w:rsidRDefault="00DF2DB3" w:rsidP="002833F9">
      <w:pPr>
        <w:pStyle w:val="a5"/>
        <w:widowControl w:val="0"/>
        <w:numPr>
          <w:ilvl w:val="0"/>
          <w:numId w:val="17"/>
        </w:num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Педагогтардың цифрлық сауаттылығы</w:t>
      </w:r>
      <w:r w:rsidR="00763C13"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ның төмендігі де үлкен кедергілердің бір факторы болып табылады.</w:t>
      </w:r>
    </w:p>
    <w:p w14:paraId="7C7977A2" w14:textId="77777777" w:rsidR="00DF2DB3" w:rsidRPr="00591F4E" w:rsidRDefault="00DF2DB3" w:rsidP="002833F9">
      <w:pPr>
        <w:pStyle w:val="a5"/>
        <w:widowControl w:val="0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Көптеген мұғалімдер ЖИ-құралдарын тиімді пайдалана алмайды. </w:t>
      </w:r>
    </w:p>
    <w:p w14:paraId="5F136C4F" w14:textId="637AE393" w:rsidR="00DF2DB3" w:rsidRPr="00591F4E" w:rsidRDefault="00DF2DB3" w:rsidP="002833F9">
      <w:pPr>
        <w:pStyle w:val="a5"/>
        <w:widowControl w:val="0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Дәстүрлі әдістерден цифрлық оқытуға көшу үшін қосымша оқыту қажет.</w:t>
      </w:r>
    </w:p>
    <w:p w14:paraId="3C682B57" w14:textId="77777777" w:rsidR="00763C13" w:rsidRPr="003445AC" w:rsidRDefault="00763C13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63C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ЖИ-негізделген әдістер – оқытуды жеңілдетеді, жекелендіреді және уақытты үнемдейді. Дегенмен, адам факторын (педагогтың рөлін) толық алмастыра алмайтындығын да ескерген жөн.</w:t>
      </w:r>
    </w:p>
    <w:p w14:paraId="05894352" w14:textId="09D5DB53" w:rsidR="00DF2DB3" w:rsidRPr="00DF2DB3" w:rsidRDefault="00763C13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елідегі математикалық платформалар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санының артуы, б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іріктірілген онлайн-платформалар (мысалы, Khan Academy, Brilliant) арқылы интерактивті оқытуды кеңейту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б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ұлттық технологиялар арқылы кез келген құрылғыдан қол жетімділік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в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иртуалды зертханалар арқылы геометриялық фигураларды, функцияларды үшөлшемді түрде зерттеу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жүргізу, о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йын элементтері арқылы математиканы түсінуді жеңілдету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ж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еке оқу траекторияларын құру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мүмкіншіліктерінің кеңеюі, 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ЖИ әр оқушының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үлгерім 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статистикасын талдап, оған арнайы оқу жоспарын ұсын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уға мүмкіншілік береді, м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ашиналық оқу арқылы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меңгерілмеген</w:t>
      </w:r>
      <w:r w:rsidR="00DF2DB3"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тақырыптарды автоматты түрде анықтау және оларды жетілдіру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бағытында жұмыс жасауды жең</w:t>
      </w:r>
      <w:r w:rsid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лдетеді.</w:t>
      </w:r>
    </w:p>
    <w:p w14:paraId="7C252072" w14:textId="2FD24307" w:rsidR="009F503A" w:rsidRDefault="00DF2DB3" w:rsidP="002833F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ЖИ-негізделген оқыту технологиялары үнемі жетіліп, білім беру сапасын арттырады. Дегенмен, оларды тиімді пайдалану үшін деректер сапасын, алгоритмдер дәлдігін және педагогтардың цифрлық дағдыларын арттыру қажет. Болашақта</w:t>
      </w:r>
      <w:r w:rsidR="00591F4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білім беру саласында</w:t>
      </w:r>
      <w:r w:rsidRPr="00DF2DB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AR/VR, адаптивтік платформалар және жекелендірілген оқыту үлкен рөл атқара</w:t>
      </w:r>
      <w:r w:rsidR="00763C1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тындығы сөзсіз.</w:t>
      </w:r>
    </w:p>
    <w:p w14:paraId="73187414" w14:textId="7FA3A965" w:rsidR="00CC328E" w:rsidRPr="00591F4E" w:rsidRDefault="00CC328E" w:rsidP="002833F9">
      <w:pPr>
        <w:spacing w:line="360" w:lineRule="auto"/>
        <w:rPr>
          <w:lang w:val="kk-KZ"/>
        </w:rPr>
      </w:pPr>
    </w:p>
    <w:p w14:paraId="20FC79D7" w14:textId="77777777" w:rsidR="00B26C35" w:rsidRDefault="00B26C35" w:rsidP="002833F9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lastRenderedPageBreak/>
        <w:t>Әдебиеттер тізімі:</w:t>
      </w:r>
    </w:p>
    <w:p w14:paraId="070E9018" w14:textId="43975DF6" w:rsidR="00EE380B" w:rsidRPr="00B26C35" w:rsidRDefault="00EE380B" w:rsidP="002833F9">
      <w:pPr>
        <w:pStyle w:val="a5"/>
        <w:widowControl w:val="0"/>
        <w:numPr>
          <w:ilvl w:val="0"/>
          <w:numId w:val="16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26C35">
        <w:rPr>
          <w:rFonts w:ascii="Times New Roman" w:hAnsi="Times New Roman" w:cs="Times New Roman"/>
          <w:sz w:val="24"/>
          <w:szCs w:val="24"/>
        </w:rPr>
        <w:t xml:space="preserve">Купертино, Ф. (2022).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Математикалық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білім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беруде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жасанды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интеллект: теория мен практика. Алматы: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Білім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баспасы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>.</w:t>
      </w:r>
    </w:p>
    <w:p w14:paraId="6C21411C" w14:textId="77777777" w:rsidR="00EE380B" w:rsidRPr="00B26C35" w:rsidRDefault="00EE380B" w:rsidP="002833F9">
      <w:pPr>
        <w:pStyle w:val="a5"/>
        <w:widowControl w:val="0"/>
        <w:numPr>
          <w:ilvl w:val="0"/>
          <w:numId w:val="16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6C35">
        <w:rPr>
          <w:rFonts w:ascii="Times New Roman" w:hAnsi="Times New Roman" w:cs="Times New Roman"/>
          <w:sz w:val="24"/>
          <w:szCs w:val="24"/>
          <w:lang w:val="en-US"/>
        </w:rPr>
        <w:t>Smith, J., &amp; Brown, A. (2021). Artificial Intelligence in Education: Adaptive Learning Systems for Mathematics. Journal of Educational Technology, 15(3), 45-67.</w:t>
      </w:r>
    </w:p>
    <w:p w14:paraId="78DB275A" w14:textId="77777777" w:rsidR="00EE380B" w:rsidRPr="00B26C35" w:rsidRDefault="00EE380B" w:rsidP="002833F9">
      <w:pPr>
        <w:pStyle w:val="a5"/>
        <w:widowControl w:val="0"/>
        <w:numPr>
          <w:ilvl w:val="0"/>
          <w:numId w:val="16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6C35">
        <w:rPr>
          <w:rFonts w:ascii="Times New Roman" w:hAnsi="Times New Roman" w:cs="Times New Roman"/>
          <w:sz w:val="24"/>
          <w:szCs w:val="24"/>
        </w:rPr>
        <w:t>Әлімқұлова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26C35">
        <w:rPr>
          <w:rFonts w:ascii="Times New Roman" w:hAnsi="Times New Roman" w:cs="Times New Roman"/>
          <w:sz w:val="24"/>
          <w:szCs w:val="24"/>
        </w:rPr>
        <w:t>Г</w:t>
      </w:r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. (2020).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Цифрлық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технологиялар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негізінде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математиканы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оқытудың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заманауи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әдістері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Қазақ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университетінің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хабаршысы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>, 4(2), 89-102.</w:t>
      </w:r>
    </w:p>
    <w:p w14:paraId="43942E7C" w14:textId="77777777" w:rsidR="00EE380B" w:rsidRPr="00B26C35" w:rsidRDefault="00EE380B" w:rsidP="002833F9">
      <w:pPr>
        <w:pStyle w:val="a5"/>
        <w:widowControl w:val="0"/>
        <w:numPr>
          <w:ilvl w:val="0"/>
          <w:numId w:val="16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Johnson, L. (2019). The Role of </w:t>
      </w:r>
      <w:proofErr w:type="spellStart"/>
      <w:r w:rsidRPr="00B26C35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26C35">
        <w:rPr>
          <w:rFonts w:ascii="Times New Roman" w:hAnsi="Times New Roman" w:cs="Times New Roman"/>
          <w:sz w:val="24"/>
          <w:szCs w:val="24"/>
          <w:lang w:val="en-US"/>
        </w:rPr>
        <w:t xml:space="preserve"> in STEM Education: Opportunities and Challenges. International Conference on AI in Education, 112-125.</w:t>
      </w:r>
    </w:p>
    <w:p w14:paraId="4BB04809" w14:textId="77777777" w:rsidR="00EE380B" w:rsidRPr="00B26C35" w:rsidRDefault="00EE380B" w:rsidP="002833F9">
      <w:pPr>
        <w:pStyle w:val="a5"/>
        <w:widowControl w:val="0"/>
        <w:numPr>
          <w:ilvl w:val="0"/>
          <w:numId w:val="16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26C35">
        <w:rPr>
          <w:rFonts w:ascii="Times New Roman" w:hAnsi="Times New Roman" w:cs="Times New Roman"/>
          <w:sz w:val="24"/>
          <w:szCs w:val="24"/>
        </w:rPr>
        <w:t>Петров, В. (2023). AR/VR-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технологияларды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математикалық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білім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беруге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енгізу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 xml:space="preserve">. Москва: Педагогика </w:t>
      </w:r>
      <w:proofErr w:type="spellStart"/>
      <w:r w:rsidRPr="00B26C35">
        <w:rPr>
          <w:rFonts w:ascii="Times New Roman" w:hAnsi="Times New Roman" w:cs="Times New Roman"/>
          <w:sz w:val="24"/>
          <w:szCs w:val="24"/>
        </w:rPr>
        <w:t>баспасы</w:t>
      </w:r>
      <w:proofErr w:type="spellEnd"/>
      <w:r w:rsidRPr="00B26C35">
        <w:rPr>
          <w:rFonts w:ascii="Times New Roman" w:hAnsi="Times New Roman" w:cs="Times New Roman"/>
          <w:sz w:val="24"/>
          <w:szCs w:val="24"/>
        </w:rPr>
        <w:t>.</w:t>
      </w:r>
    </w:p>
    <w:sectPr w:rsidR="00EE380B" w:rsidRPr="00B26C35" w:rsidSect="002833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B70"/>
    <w:multiLevelType w:val="multilevel"/>
    <w:tmpl w:val="A9E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A39E5"/>
    <w:multiLevelType w:val="multilevel"/>
    <w:tmpl w:val="A7BC8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23F2BB2"/>
    <w:multiLevelType w:val="multilevel"/>
    <w:tmpl w:val="A7BC8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3612FD7"/>
    <w:multiLevelType w:val="multilevel"/>
    <w:tmpl w:val="FA9C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B2EA1"/>
    <w:multiLevelType w:val="multilevel"/>
    <w:tmpl w:val="22B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D6788"/>
    <w:multiLevelType w:val="hybridMultilevel"/>
    <w:tmpl w:val="54606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C207A"/>
    <w:multiLevelType w:val="multilevel"/>
    <w:tmpl w:val="55B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73D67"/>
    <w:multiLevelType w:val="multilevel"/>
    <w:tmpl w:val="B56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7143D"/>
    <w:multiLevelType w:val="multilevel"/>
    <w:tmpl w:val="3A2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3EEA"/>
    <w:multiLevelType w:val="multilevel"/>
    <w:tmpl w:val="AAB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265FF"/>
    <w:multiLevelType w:val="multilevel"/>
    <w:tmpl w:val="7A2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427AB"/>
    <w:multiLevelType w:val="multilevel"/>
    <w:tmpl w:val="F00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872FD"/>
    <w:multiLevelType w:val="multilevel"/>
    <w:tmpl w:val="64E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466DB"/>
    <w:multiLevelType w:val="multilevel"/>
    <w:tmpl w:val="7AE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B608B"/>
    <w:multiLevelType w:val="multilevel"/>
    <w:tmpl w:val="D96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1794E"/>
    <w:multiLevelType w:val="hybridMultilevel"/>
    <w:tmpl w:val="EDC2DBB0"/>
    <w:lvl w:ilvl="0" w:tplc="5A60A0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81BFE"/>
    <w:multiLevelType w:val="multilevel"/>
    <w:tmpl w:val="16C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2"/>
  </w:num>
  <w:num w:numId="5">
    <w:abstractNumId w:val="6"/>
  </w:num>
  <w:num w:numId="6">
    <w:abstractNumId w:val="4"/>
  </w:num>
  <w:num w:numId="7">
    <w:abstractNumId w:val="7"/>
  </w:num>
  <w:num w:numId="8">
    <w:abstractNumId w:val="14"/>
  </w:num>
  <w:num w:numId="9">
    <w:abstractNumId w:val="11"/>
  </w:num>
  <w:num w:numId="10">
    <w:abstractNumId w:val="13"/>
  </w:num>
  <w:num w:numId="11">
    <w:abstractNumId w:val="8"/>
  </w:num>
  <w:num w:numId="12">
    <w:abstractNumId w:val="16"/>
  </w:num>
  <w:num w:numId="13">
    <w:abstractNumId w:val="3"/>
  </w:num>
  <w:num w:numId="14">
    <w:abstractNumId w:val="5"/>
  </w:num>
  <w:num w:numId="15">
    <w:abstractNumId w:val="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AC"/>
    <w:rsid w:val="000E2CDA"/>
    <w:rsid w:val="00211F02"/>
    <w:rsid w:val="00255ABD"/>
    <w:rsid w:val="00263995"/>
    <w:rsid w:val="002833F9"/>
    <w:rsid w:val="003445AC"/>
    <w:rsid w:val="0049080A"/>
    <w:rsid w:val="00547766"/>
    <w:rsid w:val="00591F4E"/>
    <w:rsid w:val="005E7982"/>
    <w:rsid w:val="0072144D"/>
    <w:rsid w:val="00763C13"/>
    <w:rsid w:val="00967311"/>
    <w:rsid w:val="00991DF4"/>
    <w:rsid w:val="009F503A"/>
    <w:rsid w:val="00B26C35"/>
    <w:rsid w:val="00C604DF"/>
    <w:rsid w:val="00CC328E"/>
    <w:rsid w:val="00DF2DB3"/>
    <w:rsid w:val="00EE380B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24EE"/>
  <w15:chartTrackingRefBased/>
  <w15:docId w15:val="{625DEA63-29D1-4E35-A686-3C05E42C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4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4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5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4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4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5AC"/>
    <w:rPr>
      <w:b/>
      <w:bCs/>
    </w:rPr>
  </w:style>
  <w:style w:type="paragraph" w:styleId="a5">
    <w:name w:val="List Paragraph"/>
    <w:basedOn w:val="a"/>
    <w:uiPriority w:val="34"/>
    <w:qFormat/>
    <w:rsid w:val="003445A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E380B"/>
    <w:rPr>
      <w:color w:val="808080"/>
    </w:rPr>
  </w:style>
  <w:style w:type="character" w:styleId="a7">
    <w:name w:val="Hyperlink"/>
    <w:basedOn w:val="a0"/>
    <w:uiPriority w:val="99"/>
    <w:unhideWhenUsed/>
    <w:rsid w:val="002639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.asqar@shakarim.k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ospanova@shakarim.kz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k.taiboldina@shakarim.k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2025-03-26T04:52:00Z</dcterms:created>
  <dcterms:modified xsi:type="dcterms:W3CDTF">2025-03-26T08:49:00Z</dcterms:modified>
</cp:coreProperties>
</file>