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keepNext w:val="0"/>
      </w:pPr>
      <w:r>
        <w:rPr>
          <w:rFonts w:ascii="Batang" w:hAnsi="Batang" w:eastAsia="Batang"/>
          <w:b/>
          <w:sz w:val="30"/>
          <w:u w:val="single"/>
        </w:rPr>
        <w:t>건설, 이라크 주간 종합 상황보고(΄26.7.29 ~ ΄26.8.4)</w:t>
      </w:r>
    </w:p>
    <w:p>
      <w:pPr>
        <w:pStyle w:val="ReportDate"/>
        <w:keepNext w:val="0"/>
        <w:jc w:val="right"/>
      </w:pPr>
      <w:r>
        <w:rPr>
          <w:rFonts w:ascii="Batang" w:hAnsi="Batang" w:eastAsia="Batang"/>
          <w:sz w:val="23"/>
        </w:rPr>
        <w:t>2026. 8. 5.</w:t>
      </w:r>
    </w:p>
    <w:p>
      <w:pPr>
        <w:pStyle w:val="ReportHeading1"/>
        <w:keepNext/>
      </w:pPr>
      <w:r>
        <w:rPr>
          <w:rFonts w:ascii="Batang" w:hAnsi="Batang" w:eastAsia="Batang"/>
        </w:rPr>
        <w:t>1. 이라크 국내 상황</w:t>
      </w:r>
    </w:p>
    <w:p>
      <w:pPr>
        <w:pStyle w:val="ReportHeading2"/>
        <w:keepNext/>
      </w:pPr>
      <w:r>
        <w:rPr>
          <w:rFonts w:ascii="Batang" w:hAnsi="Batang" w:eastAsia="Batang"/>
        </w:rPr>
        <w:t>1) 정국 / 치안</w:t>
      </w:r>
    </w:p>
    <w:p>
      <w:pPr>
        <w:pStyle w:val="ReportCategory"/>
        <w:keepNext/>
      </w:pPr>
      <w:r>
        <w:rPr>
          <w:rFonts w:ascii="Batang" w:hAnsi="Batang" w:eastAsia="Batang"/>
        </w:rPr>
        <w:t>· 정치권 동향</w:t>
      </w:r>
    </w:p>
    <w:p>
      <w:pPr>
        <w:pStyle w:val="ReportItem"/>
        <w:keepNext/>
      </w:pPr>
      <w:r>
        <w:rPr>
          <w:rFonts w:ascii="Batang" w:hAnsi="Batang" w:eastAsia="Batang"/>
        </w:rPr>
        <w:t>- 7.30, 미·사우디 공습 속에서 이란 연계 민병대 영향력과 ‘무기 국가독점’ 이행 난관 부각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분석 기사는 미국·사우디의 이란 연계 이라크 민병대 공습 이후, 이라크 정부가 ‘무기 국가 독점’과 영토 주권을 실질적으로 행사할 수 있는지에 의문을 제기했다.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여러 전문가들은 이란 혁명수비대와 연계된 일부 민병대가 특정 지역에서 사실상 국가보다 강한 영향력을 행사하고 있으며, 정부의 무장 해제 시한에도 응하지 않을 것으로 내다봤다.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기사에 따르면 일부 지역은 정부군이 자유롭게 진입·수색하지 못하는 상황이며, 민병대는 미국군 철수 이후에도 역내 위협을 이유로 무장을 유지하겠다는 입장을 보이고 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정치·경제 위기, 쿠르드 지역과의 긴장, 인접국을 겨냥한 드론 발사 등 복합 요인이 겹치면서, 정부와 민병대 간 향후 충돌 가능성까지 거론됐다.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무장세력의 실질 영향력이 강해 정부의 안보통제와 대미·대이란 균형 외교가 제약받고 있어, 대형 프로젝트 추진 시 중앙정부 결정만으로는 리스크가 해소되기 어려운 구조가 지속될 수 있다.</w:t>
      </w:r>
    </w:p>
    <w:p>
      <w:pPr>
        <w:pStyle w:val="ReportItem"/>
        <w:keepNext/>
      </w:pPr>
      <w:r>
        <w:rPr>
          <w:rFonts w:ascii="Batang" w:hAnsi="Batang" w:eastAsia="Batang"/>
        </w:rPr>
        <w:t>- 7.27, 알리 알자이디 총리, 미·이란 사이에서 균형 외교와 무장세력 통제 구상 유지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분석 보고서는 2003년 이후 이라크에서 미국과 이란의 영향력이 확대·경쟁해 온 과정을 정리하며, 알리 알자이디 총리가 두 나라 사이에서 관계 균형을 시도하고 있다고 평가했다.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보고서에 따르면 미국은 알자이디 지명을 지지했고, 알자이디는 무장 세력의 내각 참여를 제한하는 선에서 정부 구성을 통과시켰다.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알자이디 정부는 국가 밖에서 무기를 행사하는 이란 연계 민병대의 무장 해제와, 국가 안보 체계의 일원화라는 과제를 안고 있는 것으로 분석됐다.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보고서는 알자이디가 워싱턴 방문 후 테헤란을 찾아 양측과 각각 협의한 행보를, 복잡한 지정학 속에서 이라크를 ‘충돌장이 아닌 접점’으로 만들려는 시도로 해석했다.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총리가 미·이란 사이 균형과 무장세력 통제를 내세우고 있어, 향후 투자·재건정책 및 안보 환경이 정파·외세 갈등의 영향을 계속 받을 가능성이 크다.</w:t>
      </w:r>
    </w:p>
    <w:p>
      <w:pPr>
        <w:pStyle w:val="ReportItem"/>
        <w:keepNext/>
      </w:pPr>
      <w:r>
        <w:rPr>
          <w:rFonts w:ascii="Batang" w:hAnsi="Batang" w:eastAsia="Batang"/>
        </w:rPr>
        <w:t>- 7.29~7.30, 총리 주재 긴급 회의에서 미국·사우디의 이라크 공습 규탄 및 주권 수호 입장 재확인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총리실은 7.29 국무궁에서 조정연합(이른바 ‘조정 프레임워크’) 긴급 회의를 소집해 미국·사우디 연합의 이라크 영토 공습을 논의했다.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회의에서 조정연합은 공습으로 인한 헤즈드 알샤아비(인민동원군) 인명피해를 ‘이라크 주권과 영토 불가침을 명백히 위반한 행위’로 규정하고 강력히 규탄했다.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참석 세력은 이라크를 역내·국제 세력 간 충돌 무대로 만드는 것을 거부하며, 어떠한 상황에서도 이라크 안보와 주권 침해를 용납하지 않겠다는 입장을 강조했다.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조정연합은 공습이 역내 위기 완화와 긴장 완화 노력을 해친다고 평가하고, 정부에 단호한 대응과 재발 방지 조치를 촉구했다.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정부·친이란 정치세력 모두 공습을 주권 침해로 규정해 대외 메시지를 강화하고 있어, 미·사우디와의 긴장 지속 가능성이 있으며 안보·투자환경 변동성 요인이 될 수 있다.</w:t>
      </w:r>
    </w:p>
    <w:p>
      <w:pPr>
        <w:pStyle w:val="ReportItem"/>
        <w:keepNext/>
      </w:pPr>
      <w:r>
        <w:rPr>
          <w:rFonts w:ascii="Batang" w:hAnsi="Batang" w:eastAsia="Batang"/>
        </w:rPr>
        <w:t>- 7.29, 총리실, ‘무기 국가 독점’ 계획 이행 절차 조속 완료 지시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총리실은 7.29 자로 국가 차원의 무기 관리 계획과 관련해, ‘무기를 국가가 독점하는 계획’의 이행 절차를 계속 진행하고 조속히 완수할 필요가 있다고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이는 치안 확보와 주권 강화를 위해 비국가 무장세력의 무기 통제를 제도화하려는 정부 기조의 연장선으로 설명됐다.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무기 통제에 대한 정부 의지가 재확인되었으나, 실제 민병대 대응 여부에 따라 안보환경과 외국인 투자 리스크 수준이 달라질 수 있다.</w:t>
      </w:r>
    </w:p>
    <w:p>
      <w:pPr>
        <w:pStyle w:val="ReportItem"/>
        <w:keepNext/>
      </w:pPr>
      <w:r>
        <w:rPr>
          <w:rFonts w:ascii="Batang" w:hAnsi="Batang" w:eastAsia="Batang"/>
        </w:rPr>
        <w:t>- 7.30, 총리, 아델 알야스리 신임 국가투자위원장 임명으로 투자기관 지도부 교체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총리실은 7.30 자 문서로 아델 다اخ릴 무함마드를 국가투자위원회(NIC) 업무 총괄 책임자로 공식 임명했다.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이번 인사는 ‘공익상 필요’와 총리 지시에 따른 것으로 명시되었으며, 의회가 앞서 전임 위원장 하이더 마키야 해임과 부패 혐의 관련 자료를 청렴위원회로 이첩한 뒤 단행됐다.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보도에 따르면 전임 위원장은 의회의 공식 소환 통보 이후에도 청문에 출석하지 않아, 의회가 공식 해임 결의를 거쳐 교체 절차를 진행한 것으로 전해졌다.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NIC 수장이 교체되면서 비스마야 등 기존 대형 투자 프로젝트의 정책 연속성과 절차가 재정비될 가능성이 있으며, 향후 신임 위원회와의 협의 구조 재구축이 필요하다.</w:t>
      </w:r>
    </w:p>
    <w:p>
      <w:pPr>
        <w:pStyle w:val="ReportItem"/>
        <w:keepNext/>
      </w:pPr>
      <w:r>
        <w:rPr>
          <w:rFonts w:ascii="Batang" w:hAnsi="Batang" w:eastAsia="Batang"/>
        </w:rPr>
        <w:t>- 7.31, 미·사우디 공습 이후 국가안전보장회의, 새 안보계획과 무기등록 확대 추진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미·사우디 공군이 7개 이라크 주에서 ‘하슈드 알샤아비’ 시설을 공습해 18명 이상 사망, 약 20명 부상한 가운데, 국가안전보장회의는 이를 ‘주권에 대한 중대한 침해’로 규정하고 규탄했다.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회의는 작전구역 재조정, 정보수집 강화, 취약지대 보완 등 내용을 담은 ‘통합 안보계획’ 수립을 결정했으며, 추가 침해를 억제하기 위한 현장 조치를 강화하기로 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총리 겸 최고통수권자 대변인은 공식 보안기관만이 안보 파일을 책임진다고 강조하며, 정부가 2026년 9월 말까지 국제연합 대테러연합(연합군) 임무 종료 계획을 이행 중이라고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보도에 따르면 정부는 854개 경찰서 내 민간 무기등록 사무소를 개설(쿠르디스탄 제외)하는 등 ‘무기 국가 등록·통제’ 작업도 병행하고 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대외 공습을 계기로 정부가 안보통제 강화와 연합군 임무 종료를 병행 추진하고 있어, 향후 치안 책임이 이라크 측으로 더 이전될 전망이며 프로젝트 현장 보안에 대한 정부 역할이 커질 수 있다.</w:t>
      </w:r>
    </w:p>
    <w:p>
      <w:pPr>
        <w:pStyle w:val="ReportItem"/>
        <w:keepNext/>
      </w:pPr>
      <w:r>
        <w:rPr>
          <w:rFonts w:ascii="Batang" w:hAnsi="Batang" w:eastAsia="Batang"/>
        </w:rPr>
        <w:t>- 8.1, 연구기관, 이라크의 지역질서 변화 속 안보·경제 리스크와 기회 종합 진단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미래전략연구센터는 토론회를 열어 가자전 이후 다중전선 확대, 홍해·수에즈·호르무즈를 둘러싼 해상 리스크, 비국가 무장세력 부상 등 지역 환경 변화를 분석하며 이라크의 취약성과 기회를 정리했다.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연구에 따르면 이라크는 예산의 약 90%를 석유에 의존하고 대부분을 호르무즈를 통해 수출하고 있어, 해협 봉쇄나 유가 변동에 극도로 취약한 구조로 평가됐다.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보고서는 호르무즈 불안, 비국가 무장세력, 유엔(유나미) 임무 종료, 물·에너지 부족 등을 주요 위험요인으로 제시하면서도, ‘발전도로(로드 오브 디벨롭먼트)’·터키 및 시리아와의 연계, 재생에너지 확대 등 성장 기회도 병존한다고 분석했다.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참석자들은 내정 분열과 다중 안보 의사결정 구조가 대외 역할 확대의 최대 제약이라고 지적하며, ‘이라크 우선’ 원칙과 무기·결정권의 국가 집중, 경제 다각화 등을 제언했다.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연구결과는 이라크가 호르무즈·유가 변동과 내부 분열에 동시에 취약함을 보여주며, 대형 인프라·주택 사업의 재원·물류 리스크가 중장기적으로 지속될 수 있음을 시사한다.</w:t>
      </w:r>
    </w:p>
    <w:p>
      <w:pPr>
        <w:pStyle w:val="ReportItem"/>
        <w:keepNext/>
      </w:pPr>
      <w:r>
        <w:rPr>
          <w:rFonts w:ascii="Batang" w:hAnsi="Batang" w:eastAsia="Batang"/>
        </w:rPr>
        <w:t>- 8.2, 이라크 국가투자위원회–이집트 무역대표부, 투자·민간 교류 확대와 비자 절차 완화 논의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바그다드 주재 이집트 무역대표부와 이라크 국가투자위원회는 회의를 열어 양국 간 경제·투자 협력 강화와 기업인 교류 확대 방안을 논의했다.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양측은 상호 상공회의소·기업인 대표단 상호 방문을 활성화하고, 공동 투자 프로젝트 발굴과 정보 교환을 강화하기로 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회의에서는 이집트 투자자의 이라크 진입절차 완화, 이라크 기업인의 이집트 비자 절차 간소화 등 투자자 이동성 제고 방안이 논의되었다.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이집트 측은 이라크를 최우선 아랍시장 중 하나로 언급하며, 이라크 내 이집트 민간기업 진출 확대 의지를 재확인했다.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국가투자위원회가 새 지도부 하에 이집트와의 투자협력 채널을 적극 가동하고 있어, 향후 건설·인프라 분야에서 이집트 기업과의 경쟁·협력 가능성이 모두 커질 수 있다.</w:t>
      </w:r>
    </w:p>
    <w:p>
      <w:pPr>
        <w:pStyle w:val="ReportItem"/>
        <w:keepNext/>
      </w:pPr>
      <w:r>
        <w:rPr>
          <w:rFonts w:ascii="Batang" w:hAnsi="Batang" w:eastAsia="Batang"/>
        </w:rPr>
        <w:t>- 8.2, 이라크 정부, 인접국 대상 영토발 공격 차단 약속과 공동안보위원회 설치 발표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총리실은 8.2 성명을 통해 이라크 영토를 인접국 공격의 출발점이나 경유지로 사용하지 못하도록 하겠다고 약속하고, 이를 위해 공동안보위원회를 설치한다고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 입장은 최근 사우디 석유시설 공격 배후로 이란 연계 이라크 민병대가 지목되고, 이에 대응한 미·사우디 연합의 이라크 내 민병대 시설 공습 이후 나왔다.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공습으로 하슈드 알샤아비는 7개 주에서 20명 사망, 수십 명 부상 피해를 발표했으며, ‘이라크 이슬람 저항’ 명의 단체는 정부에 강경 대응을 요구하며 미·사우디에 대한 보복 공격 가능성을 언급했다.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보도는 알자이디 총리가 이란 연계 민병대 통제와 ‘무기 국가독점’ 과제를 안고 있으며, 일부 민병대가 이란의 역내 억지망의 일부로 기능하면서 정부 통제력이 제한된 현실을 지적했다.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정부가 공식적으로 ‘영토 중립’ 방침을 재확인했으나, 친이란 민병대의 독자 행동 여지가 남아 있어, 역내 긴장 고조 시 국경·에너지 인프라·프로젝트 현장이 간접 영향권에 놓일 가능성이 있다.</w:t>
      </w:r>
    </w:p>
    <w:p>
      <w:pPr>
        <w:pStyle w:val="ReportItem"/>
        <w:keepNext/>
      </w:pPr>
      <w:r>
        <w:rPr>
          <w:rFonts w:ascii="Batang" w:hAnsi="Batang" w:eastAsia="Batang"/>
        </w:rPr>
        <w:t>- 8.2, 이라크 사법부, 부패 사건에서 200억 디나르 환수 및 추가 수사 계속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최고사법위원회는 바그다드/라사파 반부패·자금세탁 전담 법원이 부패·사기 사건에서 200억 디나르를 환수했다고 발표했다.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성명은 피의자 신원이나 소속 기관은 밝히지 않았으나, 공공재산에 피해를 주는 부패 행위에 대한 법적 조치를 계속하고 있다고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이번 조치는 6월 28일 시작된 부패 연루 정치인·의원·사업가 대상 일제 구금 작전과 병행되고 있으며, 총리 알자이디는 이를 ‘공공자금 환수 조치의 1단계’로 설명한 바 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부패 자금 환수와 고위층 수사가 병행되면서, 공공사업·투자계약 관련 과거 관행에 대한 재점검 가능성이 있으며, 관련 기관과의 계약·정산 과정에서 추가 행정 절차가 요구될 수 있다.</w:t>
      </w:r>
    </w:p>
    <w:p>
      <w:pPr>
        <w:pStyle w:val="ReportItem"/>
        <w:keepNext/>
      </w:pPr>
      <w:r>
        <w:rPr>
          <w:rFonts w:ascii="Batang" w:hAnsi="Batang" w:eastAsia="Batang"/>
        </w:rPr>
        <w:t>- 8.2, 의회 재정위원회, 유동성 위기 속 화폐 추가 발행·부패 자금 환수 등 대책 검토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의회 재정위원회는 유가 하락과 수출 제약으로 인한 재정 압박과 유동성 부족에 대응하기 위해, 급여와 공공지출 재원을 마련하는 방안 중 하나로 통화 추가 발행(화폐 인쇄)을 검토하고 있다고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위원회 소속 자말 쿠저 의원은 정부가 매달 약 7조 8,000억 디나르가 필요하다고 설명하며, 부동산 매각 등 일회성 조치는 효과가 제한적이라고 지적했다.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그는 국가 자산 매각의 위험성을 경고하고, 탈취된 공공자금 환수와 부패 연루자 추적이 재정압박 완화에 기여할 수 있다고 강조했다.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전문가들은 통화 발행이 단기 유동성 확보에는 도움이 될 수 있으나, 실물 성장 없이 화폐량만 늘 경우 인플레이션과 화폐가치 하락을 초래할 수 있다는 점을 지적하고 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정부가 유동성 확보를 위해 비전통적 수단까지 거론하는 등 재정 여건이 빠듯해, 향후 예산집행·대금지급 지연과 인플레이션 리스크를 동시에 주시할 필요가 있다.</w:t>
      </w:r>
    </w:p>
    <w:p>
      <w:pPr>
        <w:pStyle w:val="ReportItem"/>
        <w:keepNext/>
      </w:pPr>
      <w:r>
        <w:rPr>
          <w:rFonts w:ascii="Batang" w:hAnsi="Batang" w:eastAsia="Batang"/>
        </w:rPr>
        <w:t>- 8.3, 의회 재정위원회, 단기 급여 재원 확보와 2027년 예산안 준비 진행 상황 설명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재정위원회 소속 아미르 나스룰라는 향후 수개월간 국가 공무원·연금수급자·군인 급여 재원이 확보돼 있다고 밝히며, 여러 재정 항목을 통해 지속 집행이 가능하다고 설명했다.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그는 바그다드–앙카라 간 합의에 따라 터키 지한 항을 통한 원유 수출량을 늘리는 것이 향후 예산 수입을 보완하는 데 도움이 될 것이라고 평가했다.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정부는 2027년 예산안을 작성 중이며, 10월 중 의회에 제출해 심의·의결 절차를 밟을 계획이다.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의회는 비석유 수입 확대와 재정 집행 효율화가 향후 재정안정의 핵심 과제라고 보고 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지한 송유 재개·확대와 예산 편성 작업이 병행되고 있어, 중기 재정전망은 유가·수출여건에 크게 좌우될 것으로 보이며, 대외 프로젝트의 대금 지급 안정성도 이에 연동될 수 있다.</w:t>
      </w:r>
    </w:p>
    <w:p>
      <w:pPr>
        <w:pStyle w:val="ReportItem"/>
        <w:keepNext/>
      </w:pPr>
      <w:r>
        <w:rPr>
          <w:rFonts w:ascii="Batang" w:hAnsi="Batang" w:eastAsia="Batang"/>
        </w:rPr>
        <w:t>- 8.3, 정치권, 남은 장관직 배분 과정에서 미국 개입 가능성 경고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정국이 남은 장관직 인선 문제로 교착된 가운데, 일부 정치인과 감시단체들은 미국이 내각 구성을 자신들의 이해에 맞게 유도하려 한다고 경고했다.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전직 의원 하산 파다움은 미국의 입법·내정 개입이 다른 역내 국가들의 추가 간섭을 정당화할 수 있으며, 이는 이라크 주권과 국익을 해칠 것이라고 지적했다.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또 다른 전직 의원 야세르 알후세이니는 알자이디 총리 내각 구성 과정에서 외부 요인이 이미 큰 역할을 해 왔다며, 남은 장관직 배분에도 외부의 ‘지문’이 남을 수 있다고 평가했다.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내각 구성이 외국 영향력 논쟁과 결부되면서 정부 정당성이 도전받고 있어, 향후 장관 인선·정책결정이 추가 지연되거나 변동성을 보일 가능성이 있다.</w:t>
      </w:r>
    </w:p>
    <w:p>
      <w:pPr>
        <w:pStyle w:val="ReportItem"/>
        <w:keepNext/>
      </w:pPr>
      <w:r>
        <w:rPr>
          <w:rFonts w:ascii="Batang" w:hAnsi="Batang" w:eastAsia="Batang"/>
        </w:rPr>
        <w:t>- 8.3~8.4, 정부, 호르무즈 봉쇄·대규모 부채 속 급여 지급 지연 해결 위해 내·외부 차입과 기술적 조치 추진</w:t>
      </w:r>
    </w:p>
    <w:p>
      <w:pPr>
        <w:pStyle w:val="ReportDetail"/>
        <w:keepNext w:val="0"/>
      </w:pPr>
      <w:r>
        <w:rPr>
          <w:rFonts w:ascii="Batang" w:hAnsi="Batang" w:eastAsia="Batang"/>
        </w:rPr>
        <w:t>* 8월 초 현재 이라크에서는 6월 급여 지급이 지연되며 재정위기가 경제 현안으로 부상했고, 정부와 의회는 유동성 확보와 국가 의무 이행 방안을 논의 중이다.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정부 대변인 하이더 알아부디는 정부가 급여 지급을 약속하며, 우선 국내 차입을 통해 재원을 조달하고 호르무즈 해협 봉쇄가 지속될 경우 외채도 검토할 수 있다고 밝혔다.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재무장관 팔레흐 사리는 의회에 출석해 재정·경제 상황과 중동 정세 변화가 재정에 미치는 영향을 설명하겠다는 요청서를 제출했다.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의회 재정위원회는 6월 급여 지연이 40일 주기 지급 때문이 아니라 외화에서 디나르로의 환전 절차에 소요되는 시간 때문이라고 설명했다.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재정위원 리야드 알타미미는 2월 28일 이후 원유 수출 중단과 함께, 전임 정부가 216조 디나르(내부 110조, 기업·시공사 미지급 106조 디나르, 외채 100억 달러)에 달하는 채무를 남겼다고 밝혔으며, 현 정부가 7월 급여 재원으로 3조 디나르만을 확보했다고 언급했다.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단기 유동성 부족과 대규모 채무 누적이 확인돼, 공공 프로젝트 대금·예산 집행 지연 위험이 높아진 상황으로, 추가 재정조치 및 유가·수출 정상화 여부에 따라 사업 현금흐름 리스크가 달라질 수 있다.</w:t>
      </w:r>
    </w:p>
    <w:p>
      <w:pPr>
        <w:pStyle w:val="ReportItem"/>
        <w:keepNext/>
      </w:pPr>
      <w:r>
        <w:rPr>
          <w:rFonts w:ascii="Batang" w:hAnsi="Batang" w:eastAsia="Batang"/>
        </w:rPr>
        <w:t>- 5.14, 새 내각 구성 앞둔 이라크, 장관 배분이 대외정책·내부 통합에 미칠 영향 논의</w:t>
      </w:r>
    </w:p>
    <w:p>
      <w:pPr>
        <w:pStyle w:val="ReportDetail"/>
        <w:keepNext w:val="0"/>
      </w:pPr>
      <w:r>
        <w:rPr>
          <w:rFonts w:ascii="Batang" w:hAnsi="Batang" w:eastAsia="Batang"/>
        </w:rPr>
        <w:t>* DW 분석에 따르면 바그다드는 새 정부 출범을 앞두고 있으며, 장관직 배분 방식이 향후 이라크의 대이란·대터키·대걸프 및 기타 국가와의 관계 방향을 좌우할 전망이다.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기사에서는 미국의 ‘묵시적 지지’ 속에 정부 구성 논의가 진행되고 있으나, 조정연합 세력이 8개 부처 장관 후보 지명을 정부 신임투표 이후로 미루는 등 핵심 인선을 둘러싼 조정이 계속되고 있다고 전했다.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정치 전문가들은 외교 균형 유지 여부와 더불어, 소셜미디어 기반 증오발언과 정치세력 간 갈등이 영토 통합과 내부 안정을 위협하는 요인이라고 지적했다.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내각 인선이 여전히 정치·외교 노선과 연계돼 조정되는 상황으로, 새 정부의 대외정책 및 투자·재건 우선순위가 장관 조합에 따라 크게 변동될 수 있다.</w:t>
      </w:r>
    </w:p>
    <w:p>
      <w:pPr>
        <w:pStyle w:val="ReportCategory"/>
        <w:keepNext/>
      </w:pPr>
      <w:r>
        <w:rPr>
          <w:rFonts w:ascii="Batang" w:hAnsi="Batang" w:eastAsia="Batang"/>
        </w:rPr>
        <w:t>· 이라크 주간 테러 상황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구분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계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무장세력공격</w:t>
            </w:r>
          </w:p>
        </w:tc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IED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암 살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시 위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총 격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자살폭탄테러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건수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0</w:t>
            </w:r>
          </w:p>
        </w:tc>
      </w:tr>
    </w:tbl>
    <w:p>
      <w:pPr>
        <w:spacing w:after="0" w:before="0"/>
      </w:pPr>
    </w:p>
    <w:p>
      <w:pPr>
        <w:pStyle w:val="ReportItem"/>
        <w:keepNext/>
      </w:pPr>
      <w:r>
        <w:rPr>
          <w:rFonts w:ascii="Batang" w:hAnsi="Batang" w:eastAsia="Batang"/>
        </w:rPr>
        <w:t>- 7.28, 이라크 당국, 시리아발 무기 밀수 시도 차단 발표</w:t>
      </w:r>
    </w:p>
    <w:p>
      <w:pPr>
        <w:pStyle w:val="ReportDetail"/>
        <w:keepNext w:val="0"/>
      </w:pPr>
      <w:r>
        <w:rPr>
          <w:rFonts w:ascii="Batang" w:hAnsi="Batang" w:eastAsia="Batang"/>
        </w:rPr>
        <w:t>* 이라크 정부는 7.28 시리아에서 반입되던 무기 밀수 시도를 저지했다고 발표했다.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보도는 이라크 보안부대와 하슈드 알샤아비가 최근 다양한 안보 위협에 대응해 경계를 강화하는 가운데, 이번 시도가 차단되었다고 전했다.</w:t>
      </w:r>
    </w:p>
    <w:p>
      <w:pPr>
        <w:pStyle w:val="ReportDetail"/>
        <w:keepNext w:val="0"/>
      </w:pPr>
      <w:r>
        <w:rPr>
          <w:rFonts w:ascii="Batang" w:hAnsi="Batang" w:eastAsia="Batang"/>
        </w:rPr>
        <w:t>* 밀수된 무기의 종류와 규모는 공개되지 않았다.</w:t>
      </w:r>
    </w:p>
    <w:p>
      <w:pPr>
        <w:pStyle w:val="ReportImplication"/>
        <w:keepNext w:val="0"/>
      </w:pPr>
      <w:r>
        <w:rPr>
          <w:rFonts w:ascii="Batang" w:hAnsi="Batang" w:eastAsia="Batang"/>
        </w:rPr>
        <w:t>☞ 시리아–이라크 국경을 통한 무기 이동이 계속되고 있어, 서부·북서부 회랑의 치안과 물류 안전에 대한 주의가 필요하다.</w:t>
      </w:r>
    </w:p>
    <w:p>
      <w:pPr>
        <w:pStyle w:val="ReportHeading2"/>
        <w:keepNext/>
      </w:pPr>
      <w:r>
        <w:rPr>
          <w:rFonts w:ascii="Batang" w:hAnsi="Batang" w:eastAsia="Batang"/>
        </w:rPr>
        <w:t>2) 경제</w:t>
      </w:r>
    </w:p>
    <w:p>
      <w:pPr>
        <w:pStyle w:val="ReportCategory"/>
        <w:keepNext/>
      </w:pPr>
      <w:r>
        <w:rPr>
          <w:rFonts w:ascii="Batang" w:hAnsi="Batang" w:eastAsia="Batang"/>
        </w:rPr>
        <w:t>· 국제유가 관련 동향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구 분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두바이유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브렌트유</w:t>
            </w:r>
          </w:p>
        </w:tc>
        <w:tc>
          <w:tcPr>
            <w:tcW w:type="dxa" w:w="29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/>
                <w:sz w:val="18"/>
              </w:rPr>
              <w:t>서부텍사스유(WTI)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8.3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$78.21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$83.77</w:t>
            </w:r>
          </w:p>
        </w:tc>
        <w:tc>
          <w:tcPr>
            <w:tcW w:type="dxa" w:w="29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$80.34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8.4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$82.90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$79.36</w:t>
            </w:r>
          </w:p>
        </w:tc>
        <w:tc>
          <w:tcPr>
            <w:tcW w:type="dxa" w:w="29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atang" w:hAnsi="Batang" w:eastAsia="Batang"/>
                <w:b w:val="0"/>
                <w:sz w:val="18"/>
              </w:rPr>
              <w:t>$75.77</w:t>
            </w:r>
          </w:p>
        </w:tc>
      </w:tr>
    </w:tbl>
    <w:p>
      <w:pPr>
        <w:spacing w:after="0" w:before="0"/>
      </w:pPr>
    </w:p>
    <w:p>
      <w:pPr>
        <w:pStyle w:val="ReportHeading1"/>
        <w:keepNext/>
      </w:pPr>
      <w:r>
        <w:rPr>
          <w:rFonts w:ascii="Batang" w:hAnsi="Batang" w:eastAsia="Batang"/>
        </w:rPr>
        <w:t>2. 국제사회</w:t>
      </w:r>
    </w:p>
    <w:p>
      <w:pPr>
        <w:pStyle w:val="ReportCategory"/>
        <w:keepNext/>
      </w:pPr>
      <w:r>
        <w:rPr>
          <w:rFonts w:ascii="Batang" w:hAnsi="Batang" w:eastAsia="Batang"/>
        </w:rPr>
        <w:t>· 국제유가 및 해상·역내 긴장 동향</w:t>
      </w:r>
    </w:p>
    <w:p>
      <w:pPr>
        <w:pStyle w:val="ReportHeading1"/>
        <w:keepNext/>
      </w:pPr>
      <w:r>
        <w:rPr>
          <w:rFonts w:ascii="Batang" w:hAnsi="Batang" w:eastAsia="Batang"/>
        </w:rPr>
        <w:t>3. 그룹 / 건설에 미치는 영향</w:t>
      </w:r>
    </w:p>
    <w:p>
      <w:pPr>
        <w:pStyle w:val="ReportImpact"/>
        <w:keepNext w:val="0"/>
      </w:pPr>
      <w:r>
        <w:rPr>
          <w:rFonts w:ascii="Batang" w:hAnsi="Batang" w:eastAsia="Batang"/>
        </w:rPr>
        <w:t>· NIC 신임 위원장 임명(topic-06)과 이집트와의 투자협력 논의(topic-09)로 비스마야 등 대형 프로젝트를 담당하는 투자기관의 방향과 해외 경쟁·협력 구도가 변화할 수 있어, 향후 NIC와의 계약·협의 채널 재정비가 필요하다.</w:t>
      </w:r>
    </w:p>
    <w:p>
      <w:pPr>
        <w:pStyle w:val="ReportImpact"/>
        <w:keepNext w:val="0"/>
      </w:pPr>
      <w:r>
        <w:rPr>
          <w:rFonts w:ascii="Batang" w:hAnsi="Batang" w:eastAsia="Batang"/>
        </w:rPr>
        <w:t>· 미·사우디의 이라크 공습과 이에 대한 정부·정파의 강경 대응(topic-02,04,06,07,10,17), 그리고 무기 국가독점 추진(topic-05,07,10,12,15)은 단기적으로 안보 변동성을 높이면서도 장기적으로는 국가 주도의 치안·무기관리 체계 강화를 지향하고 있어, 비스마야 현장 안전과 인근 물류 경로에 대한 정부 보장 수준을 주시해야 한다.</w:t>
      </w:r>
    </w:p>
    <w:p>
      <w:pPr>
        <w:pStyle w:val="ReportImpact"/>
        <w:keepNext w:val="0"/>
      </w:pPr>
      <w:r>
        <w:rPr>
          <w:rFonts w:ascii="Batang" w:hAnsi="Batang" w:eastAsia="Batang"/>
        </w:rPr>
        <w:t>· 호르무즈 봉쇄와 재정·급여 위기(topic-08,12,13,15)는 이라크 예산·유동성에 직접 영향을 미치고 있어, 비스마야 사업 관련 정부 지급 능력·지급 시기와 국제유가·운송비 변동을 연계한 리스크 관리가 요구된다.</w:t>
      </w:r>
    </w:p>
    <w:sectPr w:rsidR="00FC693F" w:rsidRPr="0006063C" w:rsidSect="00034616">
      <w:footerReference w:type="default" r:id="rId9"/>
      <w:pgSz w:w="11906" w:h="16838"/>
      <w:pgMar w:top="794" w:right="1020" w:bottom="794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atang" w:hAnsi="Batang" w:eastAsia="Batang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Batang" w:hAnsi="Batang" w:eastAsia="Batang"/>
      <w:b w:val="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widowControl/>
      <w:spacing w:before="0" w:after="160" w:line="276" w:lineRule="auto"/>
    </w:pPr>
    <w:rPr>
      <w:rFonts w:ascii="Batang" w:hAnsi="Batang" w:eastAsia="Batang"/>
      <w:b/>
      <w:sz w:val="30"/>
    </w:rPr>
  </w:style>
  <w:style w:type="paragraph" w:customStyle="1" w:styleId="ReportDate">
    <w:name w:val="Report Date"/>
    <w:pPr>
      <w:widowControl/>
      <w:spacing w:before="0" w:after="240" w:line="276" w:lineRule="auto"/>
    </w:pPr>
    <w:rPr>
      <w:rFonts w:ascii="Batang" w:hAnsi="Batang" w:eastAsia="Batang"/>
      <w:b w:val="0"/>
      <w:sz w:val="23"/>
    </w:rPr>
  </w:style>
  <w:style w:type="paragraph" w:customStyle="1" w:styleId="ReportHeading1">
    <w:name w:val="Report Heading 1"/>
    <w:pPr>
      <w:widowControl/>
      <w:spacing w:before="140" w:after="80" w:line="276" w:lineRule="auto"/>
    </w:pPr>
    <w:rPr>
      <w:rFonts w:ascii="Batang" w:hAnsi="Batang" w:eastAsia="Batang"/>
      <w:b/>
      <w:sz w:val="28"/>
    </w:rPr>
  </w:style>
  <w:style w:type="paragraph" w:customStyle="1" w:styleId="ReportHeading2">
    <w:name w:val="Report Heading 2"/>
    <w:pPr>
      <w:widowControl/>
      <w:spacing w:before="120" w:after="60" w:line="276" w:lineRule="auto"/>
    </w:pPr>
    <w:rPr>
      <w:rFonts w:ascii="Batang" w:hAnsi="Batang" w:eastAsia="Batang"/>
      <w:b/>
      <w:sz w:val="25"/>
    </w:rPr>
  </w:style>
  <w:style w:type="paragraph" w:customStyle="1" w:styleId="ReportCategory">
    <w:name w:val="Report Category"/>
    <w:pPr>
      <w:widowControl/>
      <w:spacing w:before="80" w:after="40" w:line="276" w:lineRule="auto"/>
    </w:pPr>
    <w:rPr>
      <w:rFonts w:ascii="Batang" w:hAnsi="Batang" w:eastAsia="Batang"/>
      <w:b/>
      <w:sz w:val="24"/>
    </w:rPr>
  </w:style>
  <w:style w:type="paragraph" w:customStyle="1" w:styleId="ReportItem">
    <w:name w:val="Report Item"/>
    <w:pPr>
      <w:widowControl/>
      <w:spacing w:before="40" w:after="20" w:line="276" w:lineRule="auto"/>
      <w:ind w:left="227"/>
    </w:pPr>
    <w:rPr>
      <w:rFonts w:ascii="Batang" w:hAnsi="Batang" w:eastAsia="Batang"/>
      <w:b w:val="0"/>
      <w:sz w:val="23"/>
    </w:rPr>
  </w:style>
  <w:style w:type="paragraph" w:customStyle="1" w:styleId="ReportDetail">
    <w:name w:val="Report Detail"/>
    <w:pPr>
      <w:widowControl/>
      <w:spacing w:before="0" w:after="20" w:line="276" w:lineRule="auto"/>
      <w:ind w:left="510"/>
    </w:pPr>
    <w:rPr>
      <w:rFonts w:ascii="Batang" w:hAnsi="Batang" w:eastAsia="Batang"/>
      <w:b w:val="0"/>
      <w:sz w:val="22"/>
    </w:rPr>
  </w:style>
  <w:style w:type="paragraph" w:customStyle="1" w:styleId="ReportImplication">
    <w:name w:val="Report Implication"/>
    <w:pPr>
      <w:widowControl/>
      <w:spacing w:before="0" w:after="40" w:line="276" w:lineRule="auto"/>
      <w:ind w:left="510"/>
    </w:pPr>
    <w:rPr>
      <w:rFonts w:ascii="Batang" w:hAnsi="Batang" w:eastAsia="Batang"/>
      <w:b w:val="0"/>
      <w:sz w:val="22"/>
    </w:rPr>
  </w:style>
  <w:style w:type="paragraph" w:customStyle="1" w:styleId="ReportImpact">
    <w:name w:val="Report Impact"/>
    <w:pPr>
      <w:widowControl/>
      <w:spacing w:before="40" w:after="40" w:line="276" w:lineRule="auto"/>
      <w:ind w:left="227"/>
    </w:pPr>
    <w:rPr>
      <w:rFonts w:ascii="Batang" w:hAnsi="Batang" w:eastAsia="Batang"/>
      <w:b w:val="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