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0" w:line="300"/>
        <w:jc w:val="center"/>
      </w:pPr>
      <w:r>
        <w:rPr>
          <w:rFonts w:ascii="Batang" w:cs="Batang" w:eastAsia="Batang" w:hAnsi="Batang"/>
          <w:b/>
          <w:bCs/>
          <w:sz w:val="31"/>
          <w:szCs w:val="31"/>
        </w:rPr>
        <w:t xml:space="preserve">건설, 이라크 주간 종합 상황보고(΄26.6.30 ~ ΄26.7.6)</w:t>
      </w:r>
    </w:p>
    <w:p>
      <w:pPr>
        <w:spacing w:after="320" w:before="0" w:line="300"/>
        <w:jc w:val="righ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2026. 7. 7.</w:t>
      </w:r>
    </w:p>
    <w:p>
      <w:pPr>
        <w:spacing w:after="120" w:before="260" w:line="300"/>
        <w:jc w:val="left"/>
      </w:pPr>
      <w:r>
        <w:rPr>
          <w:rFonts w:ascii="Batang" w:cs="Batang" w:eastAsia="Batang" w:hAnsi="Batang"/>
          <w:b/>
          <w:bCs/>
          <w:sz w:val="28"/>
          <w:szCs w:val="28"/>
        </w:rPr>
        <w:t xml:space="preserve">1. 이라크 국내 상황</w:t>
      </w:r>
    </w:p>
    <w:p>
      <w:pPr>
        <w:spacing w:after="120" w:before="160" w:line="300"/>
        <w:jc w:val="left"/>
      </w:pPr>
      <w:r>
        <w:rPr>
          <w:rFonts w:ascii="Batang" w:cs="Batang" w:eastAsia="Batang" w:hAnsi="Batang"/>
          <w:b/>
          <w:bCs/>
          <w:sz w:val="25"/>
          <w:szCs w:val="25"/>
        </w:rPr>
        <w:t xml:space="preserve">1) 정국 / 치안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정치권 동향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의회가 국가투자위원장 심문 세션을 목요일로 확정함.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이번 심문은 투자 환경 개선을 위한 중요한 절차로 여겨진다.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NIC와 투자위원회에 대한 감시 및 심문의 일환으로 해석될 수 있다.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국가투자위원회의 심문은 이라크의 건설 및 투자 환경에 긍정적인 영향을 미칠 수 있다.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정부가 부패 척결을 위한 새로운 조치를 강화하고 있다.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부패 문제 해결이 건설 사업에 긍정적인 영향을 미칠 가능성이 있다.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정치적 갈등 속에서 정부의 조치가 효과를 볼 수 있을지 주목된다.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부패 문제 해결이 건설 사업에 긍정적인 영향을 미칠 가능성이 있다.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이라크 주간 테러 상황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무장세력공격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IED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암 살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시 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총 격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자살폭탄테러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건수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확인 필요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/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내 테러리즘의 위협이 여전히 존재하며, 건설 사업에 대한 안전 우려가 커지고 있다.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테러 방지 부대의 활동이 건설 사업에 미치는 영향이 우려된다.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안전 문제로 인해 건설 프로젝트의 진행이 지연될 가능성이 있다.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이라크의 안보 상황이 건설 사업에 미치는 영향을 고려해야 한다.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이라크 보안군이 IS의 은신처를 겨냥한 공습을 실시하였다.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이번 공습은 IS의 재활동을 방지하기 위한 군사 작전의 일환이다.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지역 주민들의 안전을 보장하기 위한 지속적인 노력이 필요하다.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이라크의 안보 상황은 건설 사업에 직접적인 영향을 미칠 수 있다.</w:t>
      </w:r>
    </w:p>
    <w:p>
      <w:pPr>
        <w:spacing w:after="120" w:before="160" w:line="300"/>
        <w:jc w:val="left"/>
      </w:pPr>
      <w:r>
        <w:rPr>
          <w:rFonts w:ascii="Batang" w:cs="Batang" w:eastAsia="Batang" w:hAnsi="Batang"/>
          <w:b/>
          <w:bCs/>
          <w:sz w:val="25"/>
          <w:szCs w:val="25"/>
        </w:rPr>
        <w:t xml:space="preserve">2) 경제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국제유가 관련 동향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7.6, 이라크 정부가 2027년 예산안 준비에 착수함.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예산안은 국가의 재정 안정성을 높이고, 건설 및 인프라 프로젝트에 필요한 자금을 확보하는 데 중요한 역할을 할 것이다.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이라크의 경제 회복을 위한 전략적 투자 계획이 포함될 가능성이 있다.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예산안 준비는 이라크 건설 사업에 긍정적인 영향을 미칠 것으로 기대된다.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걸프 국가들이 이라크의 에너지 프로젝트에 대한 투자를 확대하고 있다.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이번 투자 계획은 이라크의 경제 개혁을 지원하는 중요한 요소로 작용할 예정이다.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수십억 달러 규모의 자금이 이라크의 에너지 인프라 개선에 사용될 예정이다.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이라크의 에너지 프로젝트에 대한 투자 확대는 한국 기업의 진출 기회를 증가시킬 수 있다.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구 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두바이유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브렌트유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/>
                <w:bCs/>
                <w:sz w:val="20"/>
                <w:szCs w:val="20"/>
              </w:rPr>
              <w:t xml:space="preserve">서부텍사스유(WTI)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7.6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80" w:before="0" w:line="30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/>
      </w:r>
    </w:p>
    <w:p>
      <w:pPr>
        <w:spacing w:after="120" w:before="260" w:line="300"/>
        <w:jc w:val="left"/>
      </w:pPr>
      <w:r>
        <w:rPr>
          <w:rFonts w:ascii="Batang" w:cs="Batang" w:eastAsia="Batang" w:hAnsi="Batang"/>
          <w:b/>
          <w:bCs/>
          <w:sz w:val="28"/>
          <w:szCs w:val="28"/>
        </w:rPr>
        <w:t xml:space="preserve">2. 국제사회</w:t>
      </w:r>
    </w:p>
    <w:p>
      <w:pPr>
        <w:spacing w:after="8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중동 주요 정세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7.5, 이란의 영향력이 줄어들 경우, 이라크 내 건설 및 투자 환경에 긍정적인 영향을 미칠 수 있다.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이스마일 카아니의 이라크 내 입국이 허용되지 않음을 통보하였다.</w:t>
      </w:r>
    </w:p>
    <w:p>
      <w:pPr>
        <w:spacing w:after="3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* 이란의 고위 인사에 대한 입국 금지는 이라크의 주권을 강조하는 조치로 해석된다.</w:t>
      </w:r>
    </w:p>
    <w:p>
      <w:pPr>
        <w:spacing w:after="80" w:before="0" w:line="300"/>
        <w:ind w:left="320"/>
        <w:jc w:val="left"/>
      </w:pPr>
      <w:r>
        <w:rPr>
          <w:rFonts w:ascii="Batang" w:cs="Batang" w:eastAsia="Batang" w:hAnsi="Batang"/>
          <w:b w:val="false"/>
          <w:bCs w:val="false"/>
          <w:sz w:val="23"/>
          <w:szCs w:val="23"/>
        </w:rPr>
        <w:t xml:space="preserve">☞ 이란의 영향력이 줄어들 경우, 이라크 내 건설 및 투자 환경에 긍정적인 영향을 미칠 수 있다.</w:t>
      </w:r>
    </w:p>
    <w:p>
      <w:pPr>
        <w:spacing w:after="120" w:before="260" w:line="300"/>
        <w:jc w:val="left"/>
      </w:pPr>
      <w:r>
        <w:rPr>
          <w:rFonts w:ascii="Batang" w:cs="Batang" w:eastAsia="Batang" w:hAnsi="Batang"/>
          <w:b/>
          <w:bCs/>
          <w:sz w:val="28"/>
          <w:szCs w:val="28"/>
        </w:rPr>
        <w:t xml:space="preserve">3. 그룹 / 건설에 미치는 영향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이라크의 정치적 안정성이 건설 사업에 긍정적인 영향을 미칠 것으로 보인다.</w:t>
      </w:r>
    </w:p>
    <w:p>
      <w:pPr>
        <w:spacing w:after="40" w:before="0" w:line="300"/>
        <w:jc w:val="left"/>
      </w:pPr>
      <w:r>
        <w:rPr>
          <w:rFonts w:ascii="Batang" w:cs="Batang" w:eastAsia="Batang" w:hAnsi="Batang"/>
          <w:b w:val="false"/>
          <w:bCs w:val="false"/>
          <w:sz w:val="24"/>
          <w:szCs w:val="24"/>
        </w:rPr>
        <w:t xml:space="preserve">· 부패 척결 노력이 이라크의 건설 및 투자 환경에 긍정적인 영향을 미칠 수 있다.</w:t>
      </w:r>
    </w:p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cs="Batang" w:eastAsia="Batang" w:hAnsi="Batang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2026-07-06T23:58:14.337Z</dcterms:created>
  <dcterms:modified xsi:type="dcterms:W3CDTF">2026-07-06T23:58:14.337Z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