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 w:line="276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  <w:u w:val="single"/>
        </w:rPr>
        <w:t xml:space="preserve">건설, 이라크 주간 종합 상황보고(΄26.7.3 ~ ΄26.7.9)</w:t>
      </w:r>
    </w:p>
    <w:p>
      <w:pPr>
        <w:spacing w:after="260" w:before="0" w:line="240"/>
        <w:jc w:val="righ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2026. 7. 10.</w:t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1. 이라크 국내 상황</w:t>
      </w:r>
    </w:p>
    <w:p>
      <w:pPr>
        <w:spacing w:after="140" w:before="220" w:line="276"/>
        <w:ind w:left="567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1) 정국 / 치안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정치권 동향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- 7.9, 이라크 의회, NIC 의장 해임 및 심문 착수.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NIC(NIC) 의장 하이더 마키야에 대한 심문과 면직이 집중 진행되며, 관련 파일의 부패방지위원회 이관이 병행되는 흐름.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의회가 투자·주택 사업 전반에 대한 감시를 강화하는 가운데, 행정절차 부담과 승인 지연 가능성이 확대되는 양상.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투자·건설 사업의 신뢰도보다 의회 견제와 행정 재검토 부담이 우선 부각되는 국면으로 해석.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- 7.9, 조정프레임워크, 부패 척결 지지 및 내부 압박 대응.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부패 척결과 무기 통제 지지 입장을 반복하며 정부 노선에 대한 정치적 방어를 강화하는 모습.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동시에 부패 스캔들 이후 내부 결속 약화와 정치적 저항이 병존하며, 연합 내 조정 필요성이 커지는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개혁 지지와 방어 논리가 병행되나, 실제 정책 집행은 정치권 내 이견으로 지연될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- 7.7, 알수다니 측, 재건발전 연합 방어 및 부패 대응 강조.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재건발전 연합이 부패 척결과 국가 무기 집중화 지지를 재확인하며 정부 노선과의 연계를 유지하는 모습.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반면 상대 진영에서는 재건발전과 알수다니 측의 연계 및 자금 출처를 둘러싼 공세가 이어져 정치적 공방이 심화되는 양상.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총리 측은 개혁·치안 프레임으로 방어하나, 정치 공방이 투자사업 관리와 대외 협의에 부담으로 작용.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법치국가연합·말리키, 부패 척결 명분 강화.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말리키가 부패 방지를 국가 최우선 과제로 제시하며 권력기관 협력을 촉구하는 등 정국 주도권 확보 시도.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조정프레임워크와 연계된 세력 전반이 부패 단속을 지지하면서도, 실행 방식과 정치적 타협 가능성을 둘러싼 경계가 병존.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부패 척결이 공통 의제로 부상했으나, 실제로는 정치적 압박 수단으로 활용될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- 7.7, 사드르계, 부패 척결 지지 시위 확산.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바그다드와 나사리야 등지에서 사드르계 지지층이 정부의 부패 척결 행보를 지지하는 집회를 전개.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부패 문제를 둘러싼 시민 반발과 정치적 동원이 함께 나타나며, 거리 정치가 의회 압박 수단으로 재부상하는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대중 동원이 부패 이슈를 증폭시키며, 향후 정치권의 추가 조치 요구로 이어질 가능성.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이라크 주간 테러 상황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구분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무장세력공격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IED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암 살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시 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총 격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자살폭탄테러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건수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확인 필요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 w:before="0" w:line="24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- 7.4, 바그다드·비스마야, 안전사고 및 경계 필요 확대.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비스마야 주거단지에서 추락 사망 사건이 발생해 지역 안전관리 점검 필요성이 부각.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바그다드 및 인근 지역에서 외부 업무·이동 시 안전수칙 준수와 현장 경계 강화 필요성이 지속.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현장 및 주거단지 주변의 일상적 안전사고도 외부 업무 리스크로 관리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- 7.3, 이라크 내, 테러·치안 위협 상시화.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최근 주간 기사상 IS 관련 직접 사건은 제한적이나, 바그다드 납치·외국인 안전 우려와 연계된 경계 신호가 지속.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PMF 및 친이란 세력의 정치적 동원과 맞물려 시위·집회가 치안 부담으로 전환될 가능성.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테러보다도 납치·시위·도심 경계 리스크를 중심으로 현장 안전관리 필요.</w:t>
      </w:r>
    </w:p>
    <w:p>
      <w:pPr>
        <w:spacing w:after="140" w:before="220" w:line="276"/>
        <w:ind w:left="567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2) 경제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국제유가 관련 동향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- 7.9, 이라크 의회, 투자위원회 해임으로 투자 관리 재편.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NIC 수장 교체와 심문이 반복되며 투자사업 관리 체계 전반의 재점검이 진행되는 양상.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주택·인프라 사업은 확대 기조가 유지되나, 승인 절차와 책임 소재를 둘러싼 행정 부담이 커지는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사업 확대 기대보다 투자 승인 지연과 행정 재검토 리스크를 우선 고려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- 7.9, 이라크 정부, 국가 주택 전략 및 토지 분배 추진.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주택난 해소를 위한 국가 주택 전략과 100만 필지 분배 계획이 병행되며 주택정책 드라이브가 강화.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다만 실제 집행은 재원·행정 절차와 연동되어 있어 단기적 사업 속도는 제한될 가능성.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주택·건설 수요는 유지되나, 실행 속도는 정부 집행력에 좌우될 전망.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- 7.7, COM, 석유·재건주택부 활동 지속.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석유부는 유전·가스 개발 협력 가능성을 검토하고, 재건주택부는 인력양성 및 공공건물·인프라 강화 기조를 유지.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정부 차원의 사업 추진 의지는 확인되나, 정치권 감시 강화로 예산 집행과 계약 관리가 더 엄격해질 가능성.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공공사업 발주는 이어질 수 있으나, 계약·정산·감사 대응 부담이 확대될 수 있음.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구 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두바이유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브렌트유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서부텍사스유(WTI)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 w:before="0" w:line="24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2. 국제사회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중동 주요 정세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- 7.8, 이란, 대외 압박 속 내부 통제 강화.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이란은 대외 군사 압박과 내부 불안정에 대응해 비상 체제를 유지하는 흐름.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 내 친이란 세력은 이란 방어와 미국·이스라엘 위협 대응을 강조하며 연계성을 부각.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이란 관련 긴장이 이라크 내 친이란 세력의 정치적 메시지와 치안 경계에 영향을 미칠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- 7.8, 이스라엘·가자, 군사 충돌 지속.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가자지구 관련 군사 충돌과 후티·이스라엘 간 긴장이 이어지며 중동 전반의 불확실성이 유지.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이라크는 직접 전장 밖에 있으나, 역내 긴장 고조가 외교·안보 메시지 강화로 연결되는 양상.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역내 분쟁 확산 시 이라크 내 반미·반이스라엘 정서와 시위 리스크가 재부각될 수 있음.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미군·이라크 관계, 주둔 및 협력 이슈 지속.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미군의 중동 재배치와 이라크 내 안보 협력 논의가 병행되며, 주둔·철수 이슈가 정치권 쟁점으로 잔존.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 정부는 주권과 안보 협력을 병행하는 입장을 유지하는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대외 안보 이슈가 국내 정치와 연결되며, 현장 외부활동 시 돌발 변수로 작용 가능.</w:t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3. 그룹 / 건설에 미치는 영향</w:t>
      </w:r>
    </w:p>
    <w:p>
      <w:pPr>
        <w:spacing w:after="9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· NIC·의회 심문이 반복되며 투자사업 승인과 행정 처리 속도 저하 가능성이 커져, 대외 협의 일정은 여유 있게 재조정할 필요.</w:t>
      </w:r>
    </w:p>
    <w:p>
      <w:pPr>
        <w:spacing w:after="4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4"/>
          <w:szCs w:val="4"/>
        </w:rPr>
        <w:t xml:space="preserve"/>
      </w:r>
    </w:p>
    <w:p>
      <w:pPr>
        <w:spacing w:after="9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· 바그다드 및 현장 인근의 시위·안전사고·치안 경계가 병존하므로 외부 업무와 이동경호는 사전 위협평가 중심으로 운영 필요.</w:t>
      </w:r>
    </w:p>
    <w:p>
      <w:pPr>
        <w:spacing w:after="4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4"/>
          <w:szCs w:val="4"/>
        </w:rPr>
        <w:t xml:space="preserve"/>
      </w:r>
    </w:p>
    <w:sectPr>
      <w:footerReference w:type="default" r:id="rId7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cs="Batang" w:eastAsia="Batang" w:hAnsi="Batang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8"/>
        <w:szCs w:val="28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2026-07-10T00:54:34.445Z</dcterms:created>
  <dcterms:modified xsi:type="dcterms:W3CDTF">2026-07-10T00:54:34.445Z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