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0" w:line="276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32"/>
          <w:szCs w:val="32"/>
          <w:u w:val="single"/>
        </w:rPr>
        <w:t xml:space="preserve">건설, 이라크 주간 종합 상황보고(΄26.7.3 ~ ΄26.7.9)</w:t>
      </w:r>
    </w:p>
    <w:p>
      <w:pPr>
        <w:spacing w:after="260" w:before="0" w:line="240"/>
        <w:jc w:val="righ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2026. 7. 10.</w:t>
      </w:r>
    </w:p>
    <w:p>
      <w:pPr>
        <w:spacing w:after="220" w:before="220" w:line="240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32"/>
          <w:szCs w:val="32"/>
        </w:rPr>
        <w:t xml:space="preserve">1. 이라크 국내 상황</w:t>
      </w:r>
    </w:p>
    <w:p>
      <w:pPr>
        <w:spacing w:after="140" w:before="220" w:line="276"/>
        <w:ind w:left="567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1) 정국 / 치안</w:t>
      </w:r>
    </w:p>
    <w:p>
      <w:pPr>
        <w:spacing w:after="120" w:before="160" w:line="276"/>
        <w:ind w:left="792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• 정치권 동향</w:t>
      </w:r>
    </w:p>
    <w:p>
      <w:pPr>
        <w:spacing w:after="8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- 7.3, Al-Sadr, 부패 척결 지지 시위 확산.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Baghdad 등지에서 정부의 부패 척결 행보 지지 집회가 전개된 흐름.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Al-Sadr 계열 동원력이 재확인되며 반부패 의제가 정국 전면에 부상한 양상.</w:t>
      </w:r>
    </w:p>
    <w:p>
      <w:pPr>
        <w:spacing w:after="12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/>
          <w:iCs/>
          <w:sz w:val="28"/>
          <w:szCs w:val="28"/>
        </w:rPr>
        <w:t xml:space="preserve">☞ 반부패 기조가 투자·인허가 심사 강화로 연결될 가능성.</w:t>
      </w:r>
    </w:p>
    <w:p>
      <w:pPr>
        <w:spacing w:after="8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- 7.5, 시아조정기구(SCF), 부패 척결·무장세력 해체 논의.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부패 방지와 미국 관련 의제, 무장단체 해체 문제가 병행 논의된 정황.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정권 핵심축 내부 이견 가능성이 제기되며 정치적 긴장 지속 전망.</w:t>
      </w:r>
    </w:p>
    <w:p>
      <w:pPr>
        <w:spacing w:after="12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/>
          <w:iCs/>
          <w:sz w:val="28"/>
          <w:szCs w:val="28"/>
        </w:rPr>
        <w:t xml:space="preserve">☞ 대형 투자사업 관련 의사결정 속도 저하 가능성.</w:t>
      </w:r>
    </w:p>
    <w:p>
      <w:pPr>
        <w:spacing w:after="8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- 7.5, Al-Maliki, 부패 방지 우선과 권력기관 협력 강조.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부패 방지가 국가 최우선 과제라는 메시지로 정국 압박을 유지하는 흐름.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SCF 내부 결속과 별개로 반부패 명분 경쟁이 심화되는 양상.</w:t>
      </w:r>
    </w:p>
    <w:p>
      <w:pPr>
        <w:spacing w:after="12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/>
          <w:iCs/>
          <w:sz w:val="28"/>
          <w:szCs w:val="28"/>
        </w:rPr>
        <w:t xml:space="preserve">☞ 정치권 전반의 감시 강화 기조가 지속될 가능성.</w:t>
      </w:r>
    </w:p>
    <w:p>
      <w:pPr>
        <w:spacing w:after="8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- 7.6, 의회, NIC 의장 심문 일정 확정.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투자 및 주택사업 관련 감시를 명분으로 NIC 수장 심문을 의회 의사일정에 반영.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투자사업 집행 과정에 대한 정치권 개입이 확대되는 신호로 해석.</w:t>
      </w:r>
    </w:p>
    <w:p>
      <w:pPr>
        <w:spacing w:after="12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/>
          <w:iCs/>
          <w:sz w:val="28"/>
          <w:szCs w:val="28"/>
        </w:rPr>
        <w:t xml:space="preserve">☞ 주택·투자사업 승인 및 집행 절차 점검이 강화될 가능성.</w:t>
      </w:r>
    </w:p>
    <w:p>
      <w:pPr>
        <w:spacing w:after="8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- 7.7, Al-Sudani, 재건발전·반부패 기조 재확인.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정부·사법기관의 부패 방지 조치 지지 입장을 재차 표명한 흐름.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재건발전 연합의 정책 정당성 확보 시도로 해석되는 국면.</w:t>
      </w:r>
    </w:p>
    <w:p>
      <w:pPr>
        <w:spacing w:after="12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/>
          <w:iCs/>
          <w:sz w:val="28"/>
          <w:szCs w:val="28"/>
        </w:rPr>
        <w:t xml:space="preserve">☞ 정부 주도 사업은 반부패 검증을 전제로 추진될 가능성.</w:t>
      </w:r>
    </w:p>
    <w:p>
      <w:pPr>
        <w:spacing w:after="8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- 7.9, 의회, NIC 의장 해임 및 청렴위원회 이관.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NIC 의장 하이더 마키야에 대한 심문 후 해임 투표가 진행된 흐름.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투자·주택사업 관련 책임 소재를 정치권이 직접 재조정하는 국면.</w:t>
      </w:r>
    </w:p>
    <w:p>
      <w:pPr>
        <w:spacing w:after="12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/>
          <w:iCs/>
          <w:sz w:val="28"/>
          <w:szCs w:val="28"/>
        </w:rPr>
        <w:t xml:space="preserve">☞ 투자사업 승인·집행 라인 재정비로 행정 지연 가능성.</w:t>
      </w:r>
    </w:p>
    <w:p>
      <w:pPr>
        <w:spacing w:after="8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- 7.9, 쿠르드 정치권, 부패 척결 강경 입장 표명.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쿠르드 측이 부패 척결에 예외가 없다는 입장을 내며 정치적 압박을 유지.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중앙정부 반부패 기조와 보조를 맞추는 형식이나, 지역권력 재편 변수는 잔존.</w:t>
      </w:r>
    </w:p>
    <w:p>
      <w:pPr>
        <w:spacing w:after="12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/>
          <w:iCs/>
          <w:sz w:val="28"/>
          <w:szCs w:val="28"/>
        </w:rPr>
        <w:t xml:space="preserve">☞ 지방권역 투자사업도 감사·심사 부담이 커질 가능성.</w:t>
      </w:r>
    </w:p>
    <w:p>
      <w:pPr>
        <w:spacing w:after="120" w:before="160" w:line="276"/>
        <w:ind w:left="792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• 이라크 주간 테러 상황</w:t>
      </w:r>
    </w:p>
    <w:tbl>
      <w:tblPr>
        <w:tblW w:type="pct" w:w="100%"/>
        <w:tblBorders>
          <w:top w:val="single" w:color="333333" w:sz="1"/>
          <w:left w:val="single" w:color="333333" w:sz="1"/>
          <w:bottom w:val="single" w:color="333333" w:sz="1"/>
          <w:right w:val="single" w:color="333333" w:sz="1"/>
          <w:insideH w:val="single" w:color="777777" w:sz="1"/>
          <w:insideV w:val="single" w:color="777777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구분</w:t>
            </w:r>
          </w:p>
        </w:tc>
        <w:tc>
          <w:tcPr>
            <w:shd w:fill="F2F2F2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계</w:t>
            </w:r>
          </w:p>
        </w:tc>
        <w:tc>
          <w:tcPr>
            <w:shd w:fill="F2F2F2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무장세력공격</w:t>
            </w:r>
          </w:p>
        </w:tc>
        <w:tc>
          <w:tcPr>
            <w:shd w:fill="F2F2F2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IED</w:t>
            </w:r>
          </w:p>
        </w:tc>
        <w:tc>
          <w:tcPr>
            <w:shd w:fill="F2F2F2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암 살</w:t>
            </w:r>
          </w:p>
        </w:tc>
        <w:tc>
          <w:tcPr>
            <w:shd w:fill="F2F2F2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시 위</w:t>
            </w:r>
          </w:p>
        </w:tc>
        <w:tc>
          <w:tcPr>
            <w:shd w:fill="F2F2F2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총 격</w:t>
            </w:r>
          </w:p>
        </w:tc>
        <w:tc>
          <w:tcPr>
            <w:shd w:fill="F2F2F2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자살폭탄테러</w:t>
            </w:r>
          </w:p>
        </w:tc>
      </w:tr>
      <w:tr>
        <w:tc>
          <w:tcPr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건수</w:t>
            </w:r>
          </w:p>
        </w:tc>
        <w:tc>
          <w:tcPr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확인 필요</w:t>
            </w:r>
          </w:p>
        </w:tc>
        <w:tc>
          <w:tcPr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</w:tr>
    </w:tbl>
    <w:p>
      <w:pPr>
        <w:spacing w:after="100" w:before="0" w:line="24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8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- 7.9, 내무부/Baghdad-남부 기차역, 이란 종교지도자 조문객 안전 대비.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대규모 이동 인원 수용을 위한 전방위적 준비가 진행된 정황.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행사성 대규모 집결에 따른 교통·출입통제 부담이 상존.</w:t>
      </w:r>
    </w:p>
    <w:p>
      <w:pPr>
        <w:spacing w:after="25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4"/>
          <w:szCs w:val="4"/>
        </w:rPr>
        <w:t xml:space="preserve"/>
      </w:r>
    </w:p>
    <w:p>
      <w:pPr>
        <w:spacing w:after="8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- 7.9, 내무부/카르발라, 교사 암살 사건 범인 체포.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기존 암살 사건 수사 결과 범인 체포를 발표한 흐름.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치안기관의 사건 대응은 확인되나, 지역별 표적범죄 위험은 잔존.</w:t>
      </w:r>
    </w:p>
    <w:p>
      <w:pPr>
        <w:spacing w:after="25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4"/>
          <w:szCs w:val="4"/>
        </w:rPr>
        <w:t xml:space="preserve"/>
      </w:r>
    </w:p>
    <w:p>
      <w:pPr>
        <w:spacing w:after="140" w:before="220" w:line="276"/>
        <w:ind w:left="567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2) 경제</w:t>
      </w:r>
    </w:p>
    <w:p>
      <w:pPr>
        <w:spacing w:after="120" w:before="160" w:line="276"/>
        <w:ind w:left="792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• 국제유가 관련 동향</w:t>
      </w:r>
    </w:p>
    <w:p>
      <w:pPr>
        <w:spacing w:after="8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- 7.5, 석유부, 주요 유전 개발 계약 체결.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석유부가 주요 유전 개발 계약을 체결한 정부활동이 확인됨.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에너지 부문 투자 확대 기대와 함께 재정 여력 보강 가능성.</w:t>
      </w:r>
    </w:p>
    <w:p>
      <w:pPr>
        <w:spacing w:after="12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/>
          <w:iCs/>
          <w:sz w:val="28"/>
          <w:szCs w:val="28"/>
        </w:rPr>
        <w:t xml:space="preserve">☞ 유전 개발 관련 후속 계약·조달 수요가 확대될 가능성.</w:t>
      </w:r>
    </w:p>
    <w:p>
      <w:pPr>
        <w:spacing w:after="8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- 7.6, 재건주택부, 인력양성·공공건물·인프라 강화 추진.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교육·훈련 프로그램을 통한 인력 양성과 공공건물 프로젝트 강화가 병행된 흐름.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주택·인프라 집행 역량 보강을 위한 행정적 기반 정비로 해석.</w:t>
      </w:r>
    </w:p>
    <w:p>
      <w:pPr>
        <w:spacing w:after="12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/>
          <w:iCs/>
          <w:sz w:val="28"/>
          <w:szCs w:val="28"/>
        </w:rPr>
        <w:t xml:space="preserve">☞ 주택사업 관련 발주·집행 여건이 점진적으로 정비될 가능성.</w:t>
      </w:r>
    </w:p>
    <w:p>
      <w:pPr>
        <w:spacing w:after="8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- 7.9, 재무부, 전기 분야 예산 프로그램 1단계 확장 확인.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디와니야·살라핀을 포함한 전기 분야 예산 프로그램 확대가 확인됨.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IMF와의 협의가 병행되어 재정 운용과 대외협의가 연동되는 양상.</w:t>
      </w:r>
    </w:p>
    <w:p>
      <w:pPr>
        <w:spacing w:after="12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/>
          <w:iCs/>
          <w:sz w:val="28"/>
          <w:szCs w:val="28"/>
        </w:rPr>
        <w:t xml:space="preserve">☞ 전력·인프라 예산 집행이 향후 사업 일정에 직접 영향 가능.</w:t>
      </w:r>
    </w:p>
    <w:p>
      <w:pPr>
        <w:spacing w:after="8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- 7.9, 이라크 정부, 국가 주택 전략 발표.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주택 공급 확대와 민간부문 협력을 축으로 한 장기 주택정책이 제시됨.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저소득층 주택 포함 다양한 공급 확대 방향이 제시된 점이 특징.</w:t>
      </w:r>
    </w:p>
    <w:p>
      <w:pPr>
        <w:spacing w:after="12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/>
          <w:iCs/>
          <w:sz w:val="28"/>
          <w:szCs w:val="28"/>
        </w:rPr>
        <w:t xml:space="preserve">☞ 주택사업 관련 신규 발주 및 민간협력 기회가 확대될 가능성.</w:t>
      </w:r>
    </w:p>
    <w:tbl>
      <w:tblPr>
        <w:tblW w:type="pct" w:w="100%"/>
        <w:tblBorders>
          <w:top w:val="single" w:color="333333" w:sz="1"/>
          <w:left w:val="single" w:color="333333" w:sz="1"/>
          <w:bottom w:val="single" w:color="333333" w:sz="1"/>
          <w:right w:val="single" w:color="333333" w:sz="1"/>
          <w:insideH w:val="single" w:color="777777" w:sz="1"/>
          <w:insideV w:val="single" w:color="777777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구 분</w:t>
            </w:r>
          </w:p>
        </w:tc>
        <w:tc>
          <w:tcPr>
            <w:shd w:fill="F2F2F2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두바이유</w:t>
            </w:r>
          </w:p>
        </w:tc>
        <w:tc>
          <w:tcPr>
            <w:shd w:fill="F2F2F2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브렌트유</w:t>
            </w:r>
          </w:p>
        </w:tc>
        <w:tc>
          <w:tcPr>
            <w:shd w:fill="F2F2F2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/>
                <w:bCs/>
                <w:i w:val="false"/>
                <w:iCs w:val="false"/>
                <w:sz w:val="22"/>
                <w:szCs w:val="22"/>
              </w:rPr>
              <w:t xml:space="preserve">서부텍사스유(WTI)</w:t>
            </w:r>
          </w:p>
        </w:tc>
      </w:tr>
      <w:tr>
        <w:tc>
          <w:tcPr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7.9</w:t>
            </w:r>
          </w:p>
        </w:tc>
        <w:tc>
          <w:tcPr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  <w:tc>
          <w:tcPr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pPr>
              <w:spacing w:after="0" w:before="0" w:line="240"/>
              <w:jc w:val="center"/>
            </w:pPr>
            <w:r>
              <w:rPr>
                <w:rFonts w:ascii="Batang" w:cs="Batang" w:eastAsia="Batang" w:hAnsi="Batang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</w:t>
            </w:r>
          </w:p>
        </w:tc>
      </w:tr>
    </w:tbl>
    <w:p>
      <w:pPr>
        <w:spacing w:after="100" w:before="0" w:line="24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/>
      </w:r>
    </w:p>
    <w:p>
      <w:pPr>
        <w:spacing w:after="220" w:before="220" w:line="240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32"/>
          <w:szCs w:val="32"/>
        </w:rPr>
        <w:t xml:space="preserve">2. 국제사회</w:t>
      </w:r>
    </w:p>
    <w:p>
      <w:pPr>
        <w:spacing w:after="120" w:before="160" w:line="276"/>
        <w:ind w:left="792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28"/>
          <w:szCs w:val="28"/>
        </w:rPr>
        <w:t xml:space="preserve">• 美·이스라엘-이란 분쟁 관련</w:t>
      </w:r>
    </w:p>
    <w:p>
      <w:pPr>
        <w:spacing w:after="8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- 7.9, 하슈드 샤비, Khamenei 장례 준비.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이란과의 연계 강화를 시사하는 동향으로 해석되는 흐름.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이라크 내 친이란 세력의 대외·대내 영향력 확대 가능성이 거론됨.</w:t>
      </w:r>
    </w:p>
    <w:p>
      <w:pPr>
        <w:spacing w:after="25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4"/>
          <w:szCs w:val="4"/>
        </w:rPr>
        <w:t xml:space="preserve"/>
      </w:r>
    </w:p>
    <w:p>
      <w:pPr>
        <w:spacing w:after="80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- 7.9, 내무부/남부 기차역, 이란 종교지도자 조문객 안전 대비.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이란 관련 대규모 행사에 대한 이라크 내 치안 대응이 병행된 정황.</w:t>
      </w:r>
    </w:p>
    <w:p>
      <w:pPr>
        <w:spacing w:after="70" w:before="0" w:line="240"/>
        <w:ind w:left="1450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* 대외 정세와 연동된 군중관리 부담이 지속되는 양상.</w:t>
      </w:r>
    </w:p>
    <w:p>
      <w:pPr>
        <w:spacing w:after="25" w:before="0" w:line="240"/>
        <w:ind w:left="1276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4"/>
          <w:szCs w:val="4"/>
        </w:rPr>
        <w:t xml:space="preserve"/>
      </w:r>
    </w:p>
    <w:p>
      <w:pPr>
        <w:spacing w:after="220" w:before="220" w:line="240"/>
        <w:jc w:val="left"/>
      </w:pPr>
      <w:r>
        <w:rPr>
          <w:rFonts w:ascii="Batang" w:cs="Batang" w:eastAsia="Batang" w:hAnsi="Batang"/>
          <w:b/>
          <w:bCs/>
          <w:i w:val="false"/>
          <w:iCs w:val="false"/>
          <w:sz w:val="32"/>
          <w:szCs w:val="32"/>
        </w:rPr>
        <w:t xml:space="preserve">3. 그룹 / 건설에 미치는 영향</w:t>
      </w:r>
    </w:p>
    <w:p>
      <w:pPr>
        <w:spacing w:after="80" w:before="0" w:line="240"/>
        <w:ind w:left="792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• 대규모 집회·행사성 이동이 이어져 현장 외부활동 시 이동경로·출입통제 확인 필요.</w:t>
      </w:r>
    </w:p>
    <w:p>
      <w:pPr>
        <w:spacing w:after="25" w:before="0" w:line="240"/>
        <w:ind w:left="792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4"/>
          <w:szCs w:val="4"/>
        </w:rPr>
        <w:t xml:space="preserve"/>
      </w:r>
    </w:p>
    <w:p>
      <w:pPr>
        <w:spacing w:after="80" w:before="0" w:line="240"/>
        <w:ind w:left="792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28"/>
          <w:szCs w:val="28"/>
        </w:rPr>
        <w:t xml:space="preserve">• NIC 심문·해임 및 주택전략 발표로 투자행정·승인 일정 변동 가능성 점검 필요.</w:t>
      </w:r>
    </w:p>
    <w:p>
      <w:pPr>
        <w:spacing w:after="25" w:before="0" w:line="240"/>
        <w:ind w:left="792"/>
        <w:jc w:val="left"/>
      </w:pPr>
      <w:r>
        <w:rPr>
          <w:rFonts w:ascii="Batang" w:cs="Batang" w:eastAsia="Batang" w:hAnsi="Batang"/>
          <w:b w:val="false"/>
          <w:bCs w:val="false"/>
          <w:i w:val="false"/>
          <w:iCs w:val="false"/>
          <w:sz w:val="4"/>
          <w:szCs w:val="4"/>
        </w:rPr>
        <w:t xml:space="preserve"/>
      </w:r>
    </w:p>
    <w:sectPr>
      <w:footerReference w:type="default" r:id="rId7"/>
      <w:pgSz w:w="11906" w:h="16838" w:orient="portrait"/>
      <w:pgMar w:top="850" w:right="900" w:bottom="8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atang" w:cs="Batang" w:eastAsia="Batang" w:hAnsi="Batang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tang" w:cs="Batang" w:eastAsia="Batang" w:hAnsi="Batang"/>
        <w:sz w:val="28"/>
        <w:szCs w:val="28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2026-07-10T01:46:36.503Z</dcterms:created>
  <dcterms:modified xsi:type="dcterms:W3CDTF">2026-07-10T01:46:36.503Z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