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" w:before="0" w:line="300"/>
        <w:jc w:val="left"/>
      </w:pPr>
      <w:r>
        <w:rPr>
          <w:rFonts w:ascii="Batang" w:cs="Batang" w:eastAsia="Batang" w:hAnsi="Batang"/>
          <w:b/>
          <w:bCs/>
          <w:i w:val="false"/>
          <w:iCs w:val="false"/>
          <w:sz w:val="34"/>
          <w:szCs w:val="34"/>
          <w:u w:val="single"/>
        </w:rPr>
        <w:t xml:space="preserve">건설, 이라크 주간 종합 상황보고(΄26.6.30 ~ ΄26.7.6)</w:t>
      </w:r>
    </w:p>
    <w:p>
      <w:pPr>
        <w:spacing w:after="300" w:before="0" w:line="320"/>
        <w:jc w:val="righ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2026. 7. 7.</w:t>
      </w:r>
    </w:p>
    <w:p>
      <w:pPr>
        <w:spacing w:after="180" w:before="220" w:line="320"/>
        <w:jc w:val="left"/>
      </w:pPr>
      <w:r>
        <w:rPr>
          <w:rFonts w:ascii="Batang" w:cs="Batang" w:eastAsia="Batang" w:hAnsi="Batang"/>
          <w:b/>
          <w:bCs/>
          <w:i w:val="false"/>
          <w:iCs w:val="false"/>
          <w:sz w:val="32"/>
          <w:szCs w:val="32"/>
        </w:rPr>
        <w:t xml:space="preserve">1. 이라크 국내 상황</w:t>
      </w:r>
    </w:p>
    <w:p>
      <w:pPr>
        <w:spacing w:after="140" w:before="120" w:line="320"/>
        <w:ind w:left="240"/>
        <w:jc w:val="left"/>
      </w:pPr>
      <w:r>
        <w:rPr>
          <w:rFonts w:ascii="Batang" w:cs="Batang" w:eastAsia="Batang" w:hAnsi="Batang"/>
          <w:b/>
          <w:bCs/>
          <w:i w:val="false"/>
          <w:iCs w:val="false"/>
          <w:sz w:val="28"/>
          <w:szCs w:val="28"/>
        </w:rPr>
        <w:t xml:space="preserve">1) 정국 / 치안</w:t>
      </w:r>
    </w:p>
    <w:p>
      <w:pPr>
        <w:spacing w:after="100" w:before="0" w:line="320"/>
        <w:ind w:left="520"/>
        <w:jc w:val="left"/>
      </w:pPr>
      <w:r>
        <w:rPr>
          <w:rFonts w:ascii="Batang" w:cs="Batang" w:eastAsia="Batang" w:hAnsi="Batang"/>
          <w:b/>
          <w:bCs/>
          <w:i w:val="false"/>
          <w:iCs w:val="false"/>
          <w:sz w:val="28"/>
          <w:szCs w:val="28"/>
        </w:rPr>
        <w:t xml:space="preserve">· 정치권 동향</w:t>
      </w:r>
    </w:p>
    <w:p>
      <w:pPr>
        <w:spacing w:after="48" w:before="0" w:line="320"/>
        <w:ind w:left="8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- 7.6, 이라크 의회, NIC 의장 심문 안건 상정 및 새 회기 개시.</w:t>
      </w:r>
    </w:p>
    <w:p>
      <w:pPr>
        <w:spacing w:after="38" w:before="0" w:line="320"/>
        <w:ind w:left="11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의회가 새 회기에서 법안 심의와 함께 NIC 의장 심문 일정을 포함하며 투자 행정에 대한 감독 강화 신호 표출.</w:t>
      </w:r>
    </w:p>
    <w:p>
      <w:pPr>
        <w:spacing w:after="38" w:before="0" w:line="320"/>
        <w:ind w:left="11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심문 사유와 대상 사업은 기사상 미확인으로, 투자·주택 관련 승인 및 조정 절차의 정치 변수 확대 가능성.</w:t>
      </w:r>
    </w:p>
    <w:p>
      <w:pPr>
        <w:spacing w:after="90" w:before="0" w:line="320"/>
        <w:ind w:left="11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☞ 투자위원회 관련 의회 견제가 강화될 경우 인허가·승인 절차의 재점검, 행정 대응 부담, 사업 일정 지연 가능성 점검 필요.</w:t>
      </w:r>
    </w:p>
    <w:p>
      <w:pPr>
        <w:spacing w:after="48" w:before="0" w:line="320"/>
        <w:ind w:left="8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- 7.5~7.6, 조정프레임워크, 반부패 지지 속 내부 결속 및 주도권 재정비.</w:t>
      </w:r>
    </w:p>
    <w:p>
      <w:pPr>
        <w:spacing w:after="38" w:before="0" w:line="320"/>
        <w:ind w:left="11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조정프레임워크가 반부패 조치와 의회 감시 강화를 지지하면서도, 말리키 발언과 최대 블록 주장으로 내부 결속 및 권력 재편 논란 병존.</w:t>
      </w:r>
    </w:p>
    <w:p>
      <w:pPr>
        <w:spacing w:after="38" w:before="0" w:line="320"/>
        <w:ind w:left="11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집권 연합 내부에서 반부패 의제가 통치 정당성 확보 수단이자 연합 내 세력 조정 수단으로 병행되는 흐름.</w:t>
      </w:r>
    </w:p>
    <w:p>
      <w:pPr>
        <w:spacing w:after="90" w:before="0" w:line="320"/>
        <w:ind w:left="11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☞ 반부패 드라이브가 집권 연합 내부 균열과 결합될 경우 정부 의사결정 속도 저하 및 정책 불확실성 확대 가능성.</w:t>
      </w:r>
    </w:p>
    <w:p>
      <w:pPr>
        <w:spacing w:after="48" w:before="0" w:line="320"/>
        <w:ind w:left="8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- 7.1~7.5, 알수다니 측·재건발전, 반부패·국가 무장 독점 지지 재확인.</w:t>
      </w:r>
    </w:p>
    <w:p>
      <w:pPr>
        <w:spacing w:after="38" w:before="0" w:line="320"/>
        <w:ind w:left="11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재건발전 계열이 부패 척결과 국가의 무장 독점 원칙을 반복 강조하며 통치·치안 주도권 방어 메시지 표출.</w:t>
      </w:r>
    </w:p>
    <w:p>
      <w:pPr>
        <w:spacing w:after="38" w:before="0" w:line="320"/>
        <w:ind w:left="11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부패 자금의 시기와 책임 소재를 둘러싼 정치 공방도 병행돼, 반부패 이슈가 현 정부 방어 논리와 결합되는 양상.</w:t>
      </w:r>
    </w:p>
    <w:p>
      <w:pPr>
        <w:spacing w:after="90" w:before="0" w:line="320"/>
        <w:ind w:left="11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☞ 반부패와 치안 통제 메시지 강화는 행정·감사 절차 강화로 이어질 수 있어 공공사업 관련 대관·증빙 관리 필요.</w:t>
      </w:r>
    </w:p>
    <w:p>
      <w:pPr>
        <w:spacing w:after="48" w:before="0" w:line="320"/>
        <w:ind w:left="8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- 6.30~7.3, 사드르계, 정부 반부패 행보 지지 및 거리 동원 신호 표출.</w:t>
      </w:r>
    </w:p>
    <w:p>
      <w:pPr>
        <w:spacing w:after="38" w:before="0" w:line="320"/>
        <w:ind w:left="11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무크타다 알사드르가 반부패 캠페인 지지와 대중 집회 촉구 입장을 내고, 지지자들도 바그다드에서 지지 시위 전개.</w:t>
      </w:r>
    </w:p>
    <w:p>
      <w:pPr>
        <w:spacing w:after="38" w:before="0" w:line="320"/>
        <w:ind w:left="11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사드르계가 반부패 프레임을 통해 정치적 존재감을 재부각하며 의회·내각에 대한 압박 수단 확보 시도 흐름.</w:t>
      </w:r>
    </w:p>
    <w:p>
      <w:pPr>
        <w:spacing w:after="90" w:before="0" w:line="320"/>
        <w:ind w:left="11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☞ 바그다드 내 추가 집회 여부에 따라 외부 업무 및 이동 동선의 단기 치안 변수 점검 필요.</w:t>
      </w:r>
    </w:p>
    <w:p>
      <w:pPr>
        <w:spacing w:after="48" w:before="0" w:line="320"/>
        <w:ind w:left="8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- 7.3~7.4, 친이란·PMF 계열, 반부패 필요성 인정 속 집행 방식 비판.</w:t>
      </w:r>
    </w:p>
    <w:p>
      <w:pPr>
        <w:spacing w:after="38" w:before="0" w:line="320"/>
        <w:ind w:left="11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아사이브 계열이 부패 척결 필요성은 인정하면서도 집행 방식의 과도성과 정치 혼선 우려 제기.</w:t>
      </w:r>
    </w:p>
    <w:p>
      <w:pPr>
        <w:spacing w:after="38" w:before="0" w:line="320"/>
        <w:ind w:left="11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친이란 성향 세력 내부에서도 반부패 기조 자체보다 적용 범위와 속도를 둘러싼 시각차 노출.</w:t>
      </w:r>
    </w:p>
    <w:p>
      <w:pPr>
        <w:spacing w:after="90" w:before="0" w:line="320"/>
        <w:ind w:left="11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☞ 반부패 이슈가 친이란 세력과 정부 간 조율 문제로 번질 경우 정국 긴장과 행정 불확실성 확대 가능성.</w:t>
      </w:r>
    </w:p>
    <w:p>
      <w:pPr>
        <w:spacing w:after="48" w:before="0" w:line="320"/>
        <w:ind w:left="8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- 7.1~7.6, 법치국가연합·쿠르드 정치권, 연대 재편 및 지역 정치 교착 노출.</w:t>
      </w:r>
    </w:p>
    <w:p>
      <w:pPr>
        <w:spacing w:after="38" w:before="0" w:line="320"/>
        <w:ind w:left="11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법치국가연합이 타 세력과의 연대 가능성을 언급하며 의회 내 재편 여지 표출.</w:t>
      </w:r>
    </w:p>
    <w:p>
      <w:pPr>
        <w:spacing w:after="38" w:before="0" w:line="320"/>
        <w:ind w:left="11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쿠르드 지역에서는 정부 구성 지연과 야권 연대 비판이 병행되며 지역 행정 분절 우려 지속.</w:t>
      </w:r>
    </w:p>
    <w:p>
      <w:pPr>
        <w:spacing w:after="90" w:before="0" w:line="320"/>
        <w:ind w:left="11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☞ 중앙·쿠르드 정치권의 연합 재편이 이어질 경우 지방정부 협의 및 지역 행정 승인 절차 지연 가능성.</w:t>
      </w:r>
    </w:p>
    <w:p>
      <w:pPr>
        <w:spacing w:after="100" w:before="0" w:line="320"/>
        <w:ind w:left="520"/>
        <w:jc w:val="left"/>
      </w:pPr>
      <w:r>
        <w:rPr>
          <w:rFonts w:ascii="Batang" w:cs="Batang" w:eastAsia="Batang" w:hAnsi="Batang"/>
          <w:b/>
          <w:bCs/>
          <w:i w:val="false"/>
          <w:iCs w:val="false"/>
          <w:sz w:val="28"/>
          <w:szCs w:val="28"/>
        </w:rPr>
        <w:t xml:space="preserve">· 이라크 주간 테러 상황</w:t>
      </w:r>
    </w:p>
    <w:tbl>
      <w:tblPr>
        <w:tblW w:type="pct" w:w="100%"/>
        <w:tblBorders>
          <w:top w:val="single" w:color="777777" w:sz="1"/>
          <w:left w:val="single" w:color="777777" w:sz="1"/>
          <w:bottom w:val="single" w:color="777777" w:sz="1"/>
          <w:right w:val="single" w:color="777777" w:sz="1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 w:before="0" w:line="260"/>
              <w:jc w:val="center"/>
            </w:pPr>
            <w:r>
              <w:rPr>
                <w:rFonts w:ascii="Batang" w:cs="Batang" w:eastAsia="Batang" w:hAnsi="Batang"/>
                <w:b/>
                <w:bCs/>
                <w:i w:val="false"/>
                <w:iCs w:val="false"/>
                <w:sz w:val="22"/>
                <w:szCs w:val="22"/>
              </w:rPr>
              <w:t xml:space="preserve">구분</w:t>
            </w:r>
          </w:p>
        </w:tc>
        <w:tc>
          <w:tcPr>
            <w:shd w:fill="F2F2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 w:before="0" w:line="260"/>
              <w:jc w:val="center"/>
            </w:pPr>
            <w:r>
              <w:rPr>
                <w:rFonts w:ascii="Batang" w:cs="Batang" w:eastAsia="Batang" w:hAnsi="Batang"/>
                <w:b/>
                <w:bCs/>
                <w:i w:val="false"/>
                <w:iCs w:val="false"/>
                <w:sz w:val="22"/>
                <w:szCs w:val="22"/>
              </w:rPr>
              <w:t xml:space="preserve">계</w:t>
            </w:r>
          </w:p>
        </w:tc>
        <w:tc>
          <w:tcPr>
            <w:shd w:fill="F2F2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 w:before="0" w:line="260"/>
              <w:jc w:val="center"/>
            </w:pPr>
            <w:r>
              <w:rPr>
                <w:rFonts w:ascii="Batang" w:cs="Batang" w:eastAsia="Batang" w:hAnsi="Batang"/>
                <w:b/>
                <w:bCs/>
                <w:i w:val="false"/>
                <w:iCs w:val="false"/>
                <w:sz w:val="22"/>
                <w:szCs w:val="22"/>
              </w:rPr>
              <w:t xml:space="preserve">무장세력공격</w:t>
            </w:r>
          </w:p>
        </w:tc>
        <w:tc>
          <w:tcPr>
            <w:shd w:fill="F2F2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 w:before="0" w:line="260"/>
              <w:jc w:val="center"/>
            </w:pPr>
            <w:r>
              <w:rPr>
                <w:rFonts w:ascii="Batang" w:cs="Batang" w:eastAsia="Batang" w:hAnsi="Batang"/>
                <w:b/>
                <w:bCs/>
                <w:i w:val="false"/>
                <w:iCs w:val="false"/>
                <w:sz w:val="22"/>
                <w:szCs w:val="22"/>
              </w:rPr>
              <w:t xml:space="preserve">IED</w:t>
            </w:r>
          </w:p>
        </w:tc>
        <w:tc>
          <w:tcPr>
            <w:shd w:fill="F2F2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 w:before="0" w:line="260"/>
              <w:jc w:val="center"/>
            </w:pPr>
            <w:r>
              <w:rPr>
                <w:rFonts w:ascii="Batang" w:cs="Batang" w:eastAsia="Batang" w:hAnsi="Batang"/>
                <w:b/>
                <w:bCs/>
                <w:i w:val="false"/>
                <w:iCs w:val="false"/>
                <w:sz w:val="22"/>
                <w:szCs w:val="22"/>
              </w:rPr>
              <w:t xml:space="preserve">암 살</w:t>
            </w:r>
          </w:p>
        </w:tc>
        <w:tc>
          <w:tcPr>
            <w:shd w:fill="F2F2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 w:before="0" w:line="260"/>
              <w:jc w:val="center"/>
            </w:pPr>
            <w:r>
              <w:rPr>
                <w:rFonts w:ascii="Batang" w:cs="Batang" w:eastAsia="Batang" w:hAnsi="Batang"/>
                <w:b/>
                <w:bCs/>
                <w:i w:val="false"/>
                <w:iCs w:val="false"/>
                <w:sz w:val="22"/>
                <w:szCs w:val="22"/>
              </w:rPr>
              <w:t xml:space="preserve">시 위</w:t>
            </w:r>
          </w:p>
        </w:tc>
        <w:tc>
          <w:tcPr>
            <w:shd w:fill="F2F2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 w:before="0" w:line="260"/>
              <w:jc w:val="center"/>
            </w:pPr>
            <w:r>
              <w:rPr>
                <w:rFonts w:ascii="Batang" w:cs="Batang" w:eastAsia="Batang" w:hAnsi="Batang"/>
                <w:b/>
                <w:bCs/>
                <w:i w:val="false"/>
                <w:iCs w:val="false"/>
                <w:sz w:val="22"/>
                <w:szCs w:val="22"/>
              </w:rPr>
              <w:t xml:space="preserve">총 격</w:t>
            </w:r>
          </w:p>
        </w:tc>
        <w:tc>
          <w:tcPr>
            <w:shd w:fill="F2F2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 w:before="0" w:line="260"/>
              <w:jc w:val="center"/>
            </w:pPr>
            <w:r>
              <w:rPr>
                <w:rFonts w:ascii="Batang" w:cs="Batang" w:eastAsia="Batang" w:hAnsi="Batang"/>
                <w:b/>
                <w:bCs/>
                <w:i w:val="false"/>
                <w:iCs w:val="false"/>
                <w:sz w:val="22"/>
                <w:szCs w:val="22"/>
              </w:rPr>
              <w:t xml:space="preserve">자살폭탄테러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 w:before="0" w:line="26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건수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 w:before="0" w:line="26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확인 필요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 w:before="0" w:line="26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 w:before="0" w:line="26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 w:before="0" w:line="26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 w:before="0" w:line="26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 w:before="0" w:line="26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 w:before="0" w:line="26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</w:t>
            </w:r>
          </w:p>
        </w:tc>
      </w:tr>
    </w:tbl>
    <w:p>
      <w:pPr>
        <w:spacing w:after="120" w:before="0" w:line="3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48" w:before="0" w:line="320"/>
        <w:ind w:left="8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- 7.5, 이라크 대테러부대, IS 교전 중 장교 사망.</w:t>
      </w:r>
    </w:p>
    <w:p>
      <w:pPr>
        <w:spacing w:after="38" w:before="0" w:line="320"/>
        <w:ind w:left="11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대테러부대와 IS 간 교전이 지속되며 잔존 세력 위협이 여전히 해소되지 않은 상황.</w:t>
      </w:r>
    </w:p>
    <w:p>
      <w:pPr>
        <w:spacing w:after="38" w:before="0" w:line="320"/>
        <w:ind w:left="11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구체적 교전 지역과 작전 범위는 기사상 미확인으로 세부 위험도 평가는 제한적.</w:t>
      </w:r>
    </w:p>
    <w:p>
      <w:pPr>
        <w:spacing w:after="90" w:before="0" w:line="320"/>
        <w:ind w:left="11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☞ 외곽 이동 및 현장 접근 시 경로별 위협 분석과 경비 지원 유지 필요.</w:t>
      </w:r>
    </w:p>
    <w:p>
      <w:pPr>
        <w:spacing w:after="48" w:before="0" w:line="320"/>
        <w:ind w:left="8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- 7.5, 이라크 공군, IS 잔당 대상 F-16 공습 확대.</w:t>
      </w:r>
    </w:p>
    <w:p>
      <w:pPr>
        <w:spacing w:after="38" w:before="0" w:line="320"/>
        <w:ind w:left="11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바그다드-에르빌 공조 아래 IS 잔당 대상 추가 공습이 진행되며 북부 대테러 작전 지속 신호.</w:t>
      </w:r>
    </w:p>
    <w:p>
      <w:pPr>
        <w:spacing w:after="38" w:before="0" w:line="320"/>
        <w:ind w:left="11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민간·산업시설 영향은 기사상 확인되지 않으나 북부 취약지역 치안 변수는 유지.</w:t>
      </w:r>
    </w:p>
    <w:p>
      <w:pPr>
        <w:spacing w:after="90" w:before="0" w:line="320"/>
        <w:ind w:left="11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☞ 북부 및 장거리 이동 구간은 군 작전 상황과 연계한 사전 동선 점검 필요.</w:t>
      </w:r>
    </w:p>
    <w:p>
      <w:pPr>
        <w:spacing w:after="48" w:before="0" w:line="320"/>
        <w:ind w:left="8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- 7.6, 이라크 내 IS 잔존세력, 소탕 지연.</w:t>
      </w:r>
    </w:p>
    <w:p>
      <w:pPr>
        <w:spacing w:after="38" w:before="0" w:line="320"/>
        <w:ind w:left="11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복잡한 지형과 분산 은신 환경으로 IS 잔존세력 소탕이 지연되는 구조적 한계 부각.</w:t>
      </w:r>
    </w:p>
    <w:p>
      <w:pPr>
        <w:spacing w:after="38" w:before="0" w:line="320"/>
        <w:ind w:left="11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대테러 작전 장기화 가능성으로 단기간 내 치안 안정 단정은 곤란.</w:t>
      </w:r>
    </w:p>
    <w:p>
      <w:pPr>
        <w:spacing w:after="90" w:before="0" w:line="320"/>
        <w:ind w:left="11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☞ 현장 인근 외곽지역 출입, 야간 이동, 비정규 경로 사용 최소화 필요.</w:t>
      </w:r>
    </w:p>
    <w:p>
      <w:pPr>
        <w:spacing w:after="48" w:before="0" w:line="320"/>
        <w:ind w:left="8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- 7.3, 사드르계 지지자들, 바그다드 반부패 지지 시위 전개.</w:t>
      </w:r>
    </w:p>
    <w:p>
      <w:pPr>
        <w:spacing w:after="38" w:before="0" w:line="320"/>
        <w:ind w:left="11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정부 반부패 캠페인 지지 성격의 시위로 확인되며 충돌 여부는 기사상 미확인.</w:t>
      </w:r>
    </w:p>
    <w:p>
      <w:pPr>
        <w:spacing w:after="38" w:before="0" w:line="320"/>
        <w:ind w:left="11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정치 이슈와 연계된 추가 집회 가능성은 바그다드 도심 이동 리스크 요인.</w:t>
      </w:r>
    </w:p>
    <w:p>
      <w:pPr>
        <w:spacing w:after="90" w:before="0" w:line="320"/>
        <w:ind w:left="11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☞ 바그다드 내 외부 업무 시 집회 예상 지역 우회 및 일정 탄력 운영 필요.</w:t>
      </w:r>
    </w:p>
    <w:p>
      <w:pPr>
        <w:spacing w:after="48" w:before="0" w:line="320"/>
        <w:ind w:left="8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- 7.4, 비스마야 주거단지, 추락 사망사건 조사 착수.</w:t>
      </w:r>
    </w:p>
    <w:p>
      <w:pPr>
        <w:spacing w:after="38" w:before="0" w:line="320"/>
        <w:ind w:left="11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비스마야 주거건물에서 여성 1명 추락 사망 후 보안당국 조사 착수.</w:t>
      </w:r>
    </w:p>
    <w:p>
      <w:pPr>
        <w:spacing w:after="38" w:before="0" w:line="320"/>
        <w:ind w:left="11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공사현장 연계 여부는 확인되지 않으며, 주거단지 안전관리 이슈로 분류 가능.</w:t>
      </w:r>
    </w:p>
    <w:p>
      <w:pPr>
        <w:spacing w:after="90" w:before="0" w:line="320"/>
        <w:ind w:left="11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☞ 비스마야 현장 및 주거구역의 출입통제, 시설 안전점검, 비상대응 체계 재확인 필요.</w:t>
      </w:r>
    </w:p>
    <w:p>
      <w:pPr>
        <w:spacing w:after="140" w:before="120" w:line="320"/>
        <w:ind w:left="240"/>
        <w:jc w:val="left"/>
      </w:pPr>
      <w:r>
        <w:rPr>
          <w:rFonts w:ascii="Batang" w:cs="Batang" w:eastAsia="Batang" w:hAnsi="Batang"/>
          <w:b/>
          <w:bCs/>
          <w:i w:val="false"/>
          <w:iCs w:val="false"/>
          <w:sz w:val="28"/>
          <w:szCs w:val="28"/>
        </w:rPr>
        <w:t xml:space="preserve">2) 경제</w:t>
      </w:r>
    </w:p>
    <w:p>
      <w:pPr>
        <w:spacing w:after="100" w:before="0" w:line="320"/>
        <w:ind w:left="520"/>
        <w:jc w:val="left"/>
      </w:pPr>
      <w:r>
        <w:rPr>
          <w:rFonts w:ascii="Batang" w:cs="Batang" w:eastAsia="Batang" w:hAnsi="Batang"/>
          <w:b/>
          <w:bCs/>
          <w:i w:val="false"/>
          <w:iCs w:val="false"/>
          <w:sz w:val="28"/>
          <w:szCs w:val="28"/>
        </w:rPr>
        <w:t xml:space="preserve">· 국제유가 관련 동향</w:t>
      </w:r>
    </w:p>
    <w:p>
      <w:pPr>
        <w:spacing w:after="48" w:before="0" w:line="320"/>
        <w:ind w:left="8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- 7.6, 이라크 정부, 2025년 예산 법적·헌법적 쟁점 부각.</w:t>
      </w:r>
    </w:p>
    <w:p>
      <w:pPr>
        <w:spacing w:after="38" w:before="0" w:line="320"/>
        <w:ind w:left="11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2025년 예산 세부표의 의회 미승인 문제가 지속되며 예산 집행의 절차 적정성 논란 잔존.</w:t>
      </w:r>
    </w:p>
    <w:p>
      <w:pPr>
        <w:spacing w:after="38" w:before="0" w:line="320"/>
        <w:ind w:left="11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2026년 예산도 미확정 상태로 1/12 임시지출 체제 지속.</w:t>
      </w:r>
    </w:p>
    <w:p>
      <w:pPr>
        <w:spacing w:after="90" w:before="0" w:line="320"/>
        <w:ind w:left="11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☞ 공공발주, 기성금 지급, 신규 사업 승인 일정의 불확실성 확대 가능성.</w:t>
      </w:r>
    </w:p>
    <w:p>
      <w:pPr>
        <w:spacing w:after="48" w:before="0" w:line="320"/>
        <w:ind w:left="8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- 7.6, 이라크 재무부, 2027년 연방예산안 초안 작성 착수.</w:t>
      </w:r>
    </w:p>
    <w:p>
      <w:pPr>
        <w:spacing w:after="38" w:before="0" w:line="320"/>
        <w:ind w:left="11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9월까지 초안 작성 후 경제장관회의·각료회의·의회 심의 절차 예정으로 재정 정상화 시도 신호.</w:t>
      </w:r>
    </w:p>
    <w:p>
      <w:pPr>
        <w:spacing w:after="38" w:before="0" w:line="320"/>
        <w:ind w:left="11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다만 실제 승인 전까지는 임시지출 지속 가능성이 커 재정 집행 속도는 제한적.</w:t>
      </w:r>
    </w:p>
    <w:p>
      <w:pPr>
        <w:spacing w:after="90" w:before="0" w:line="320"/>
        <w:ind w:left="11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☞ 예산 편성 재개 자체보다 의회 승인 시점과 총액 확정 여부를 중심으로 보수적 자금계획 필요.</w:t>
      </w:r>
    </w:p>
    <w:p>
      <w:pPr>
        <w:spacing w:after="48" w:before="0" w:line="320"/>
        <w:ind w:left="8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- 7.1, 알마스 홀딩스, 석유부 협조 거부 및 비스마야 전력 차단 우려 제기.</w:t>
      </w:r>
    </w:p>
    <w:p>
      <w:pPr>
        <w:spacing w:after="38" w:before="0" w:line="320"/>
        <w:ind w:left="11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하루 130대 유조차 준비 언급으로 연료 공급 대응 필요성 부각.</w:t>
      </w:r>
    </w:p>
    <w:p>
      <w:pPr>
        <w:spacing w:after="38" w:before="0" w:line="320"/>
        <w:ind w:left="11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비스마야 전력 안정성 저하 가능성이 제기되며 주거단지 운영 리스크 확대.</w:t>
      </w:r>
    </w:p>
    <w:p>
      <w:pPr>
        <w:spacing w:after="90" w:before="0" w:line="320"/>
        <w:ind w:left="11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☞ 비스마야 관련 전력·연료 공급 차질 가능성에 대비한 운영 대책과 지원체계 점검 필요.</w:t>
      </w:r>
    </w:p>
    <w:p>
      <w:pPr>
        <w:spacing w:after="48" w:before="0" w:line="320"/>
        <w:ind w:left="8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- 7.4~7.6, 이라크 정부·재건부, 주택용지 100만 필지 구상 및 주택난 대응 추진.</w:t>
      </w:r>
    </w:p>
    <w:p>
      <w:pPr>
        <w:spacing w:after="38" w:before="0" w:line="320"/>
        <w:ind w:left="11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주택용 100만 필지 구상 1단계 착수와 토지 분배 계획이 반복 보도되며 주택 공급 확대 의지 재확인.</w:t>
      </w:r>
    </w:p>
    <w:p>
      <w:pPr>
        <w:spacing w:after="38" w:before="0" w:line="320"/>
        <w:ind w:left="11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주택 230만 호 부족, 신도시 필요성, 지방 주거난과 재원 부족 문제가 함께 제기돼 실제 집행력은 추가 확인 필요.</w:t>
      </w:r>
    </w:p>
    <w:p>
      <w:pPr>
        <w:spacing w:after="90" w:before="0" w:line="320"/>
        <w:ind w:left="11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☞ 주택정책은 중장기 수요 신호이나, 예산·행정·배분 방식 미확정으로 단기 사업화 판단은 신중 필요.</w:t>
      </w:r>
    </w:p>
    <w:p>
      <w:pPr>
        <w:spacing w:after="48" w:before="0" w:line="320"/>
        <w:ind w:left="8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- 7.5~7.6, 이라크 에너지 부문, 송유관·증산 협력 확대 논의.</w:t>
      </w:r>
    </w:p>
    <w:p>
      <w:pPr>
        <w:spacing w:after="38" w:before="0" w:line="320"/>
        <w:ind w:left="11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터키·시리아 경유 송유관 사업 승인 및 초국경 파이프라인 타당성 조사 착수 보도.</w:t>
      </w:r>
    </w:p>
    <w:p>
      <w:pPr>
        <w:spacing w:after="38" w:before="0" w:line="320"/>
        <w:ind w:left="11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석유부-할리버튼 계약을 통한 증산 전망이 제기됐으나, 후속 투자 전환 전략 부족 지적 병존.</w:t>
      </w:r>
    </w:p>
    <w:p>
      <w:pPr>
        <w:spacing w:after="90" w:before="0" w:line="320"/>
        <w:ind w:left="11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☞ 에너지 인프라 발주 가능성은 있으나 초기 구상·검토 단계가 많아 후속 계약·재원 확보 여부 추적 필요.</w:t>
      </w:r>
    </w:p>
    <w:tbl>
      <w:tblPr>
        <w:tblW w:type="pct" w:w="100%"/>
        <w:tblBorders>
          <w:top w:val="single" w:color="777777" w:sz="1"/>
          <w:left w:val="single" w:color="777777" w:sz="1"/>
          <w:bottom w:val="single" w:color="777777" w:sz="1"/>
          <w:right w:val="single" w:color="777777" w:sz="1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 w:before="0" w:line="260"/>
              <w:jc w:val="center"/>
            </w:pPr>
            <w:r>
              <w:rPr>
                <w:rFonts w:ascii="Batang" w:cs="Batang" w:eastAsia="Batang" w:hAnsi="Batang"/>
                <w:b/>
                <w:bCs/>
                <w:i w:val="false"/>
                <w:iCs w:val="false"/>
                <w:sz w:val="22"/>
                <w:szCs w:val="22"/>
              </w:rPr>
              <w:t xml:space="preserve">구 분</w:t>
            </w:r>
          </w:p>
        </w:tc>
        <w:tc>
          <w:tcPr>
            <w:shd w:fill="F2F2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 w:before="0" w:line="260"/>
              <w:jc w:val="center"/>
            </w:pPr>
            <w:r>
              <w:rPr>
                <w:rFonts w:ascii="Batang" w:cs="Batang" w:eastAsia="Batang" w:hAnsi="Batang"/>
                <w:b/>
                <w:bCs/>
                <w:i w:val="false"/>
                <w:iCs w:val="false"/>
                <w:sz w:val="22"/>
                <w:szCs w:val="22"/>
              </w:rPr>
              <w:t xml:space="preserve">두바이유</w:t>
            </w:r>
          </w:p>
        </w:tc>
        <w:tc>
          <w:tcPr>
            <w:shd w:fill="F2F2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 w:before="0" w:line="260"/>
              <w:jc w:val="center"/>
            </w:pPr>
            <w:r>
              <w:rPr>
                <w:rFonts w:ascii="Batang" w:cs="Batang" w:eastAsia="Batang" w:hAnsi="Batang"/>
                <w:b/>
                <w:bCs/>
                <w:i w:val="false"/>
                <w:iCs w:val="false"/>
                <w:sz w:val="22"/>
                <w:szCs w:val="22"/>
              </w:rPr>
              <w:t xml:space="preserve">브렌트유</w:t>
            </w:r>
          </w:p>
        </w:tc>
        <w:tc>
          <w:tcPr>
            <w:shd w:fill="F2F2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 w:before="0" w:line="260"/>
              <w:jc w:val="center"/>
            </w:pPr>
            <w:r>
              <w:rPr>
                <w:rFonts w:ascii="Batang" w:cs="Batang" w:eastAsia="Batang" w:hAnsi="Batang"/>
                <w:b/>
                <w:bCs/>
                <w:i w:val="false"/>
                <w:iCs w:val="false"/>
                <w:sz w:val="22"/>
                <w:szCs w:val="22"/>
              </w:rPr>
              <w:t xml:space="preserve">서부텍사스유(WTI)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 w:before="0" w:line="26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7.6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 w:before="0" w:line="26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 w:before="0" w:line="26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 w:before="0" w:line="26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</w:t>
            </w:r>
          </w:p>
        </w:tc>
      </w:tr>
    </w:tbl>
    <w:p>
      <w:pPr>
        <w:spacing w:after="120" w:before="0" w:line="3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180" w:before="220" w:line="320"/>
        <w:jc w:val="left"/>
      </w:pPr>
      <w:r>
        <w:rPr>
          <w:rFonts w:ascii="Batang" w:cs="Batang" w:eastAsia="Batang" w:hAnsi="Batang"/>
          <w:b/>
          <w:bCs/>
          <w:i w:val="false"/>
          <w:iCs w:val="false"/>
          <w:sz w:val="32"/>
          <w:szCs w:val="32"/>
        </w:rPr>
        <w:t xml:space="preserve">2. 국제사회</w:t>
      </w:r>
    </w:p>
    <w:p>
      <w:pPr>
        <w:spacing w:after="100" w:before="0" w:line="320"/>
        <w:ind w:left="520"/>
        <w:jc w:val="left"/>
      </w:pPr>
      <w:r>
        <w:rPr>
          <w:rFonts w:ascii="Batang" w:cs="Batang" w:eastAsia="Batang" w:hAnsi="Batang"/>
          <w:b/>
          <w:bCs/>
          <w:i w:val="false"/>
          <w:iCs w:val="false"/>
          <w:sz w:val="28"/>
          <w:szCs w:val="28"/>
        </w:rPr>
        <w:t xml:space="preserve">· 중동 주요 정세</w:t>
      </w:r>
    </w:p>
    <w:p>
      <w:pPr>
        <w:spacing w:after="48" w:before="0" w:line="320"/>
        <w:ind w:left="8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- 7.5, 이라크 총리, 이스마일 가아니 비선호 입장 전달 보도.</w:t>
      </w:r>
    </w:p>
    <w:p>
      <w:pPr>
        <w:spacing w:after="38" w:before="0" w:line="320"/>
        <w:ind w:left="11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이란 측 핵심 인사에 대한 거리두기 신호로 해석 가능하나, 구체적 후속 조치는 기사상 미확인.</w:t>
      </w:r>
    </w:p>
    <w:p>
      <w:pPr>
        <w:spacing w:after="38" w:before="0" w:line="320"/>
        <w:ind w:left="11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이라크 정부와 친이란 세력 간 긴장 관리 문제가 대외 변수로 부상 가능.</w:t>
      </w:r>
    </w:p>
    <w:p>
      <w:pPr>
        <w:spacing w:after="90" w:before="0" w:line="320"/>
        <w:ind w:left="11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☞ 대이란 민감 이슈가 바그다드 정치·치안 환경에 파급될 가능성 점검 필요.</w:t>
      </w:r>
    </w:p>
    <w:p>
      <w:pPr>
        <w:spacing w:after="48" w:before="0" w:line="320"/>
        <w:ind w:left="8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- 7.6, 조정프레임워크, 이란 관련 추모 준비 병행 논의.</w:t>
      </w:r>
    </w:p>
    <w:p>
      <w:pPr>
        <w:spacing w:after="38" w:before="0" w:line="320"/>
        <w:ind w:left="11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반부패와 의회 감시 강화 논의와 함께 이란 관련 대중 동원 이슈가 병행 거론.</w:t>
      </w:r>
    </w:p>
    <w:p>
      <w:pPr>
        <w:spacing w:after="38" w:before="0" w:line="320"/>
        <w:ind w:left="11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이라크 내 친이란 정치세력의 대외 연계성이 여전히 국내 정치 일정과 결합되는 흐름.</w:t>
      </w:r>
    </w:p>
    <w:p>
      <w:pPr>
        <w:spacing w:after="90" w:before="0" w:line="320"/>
        <w:ind w:left="11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☞ 이란 관련 집회·추모 동원이 확대될 경우 바그다드 내 군중집결 및 경호 리스크 점검 필요.</w:t>
      </w:r>
    </w:p>
    <w:p>
      <w:pPr>
        <w:spacing w:after="48" w:before="0" w:line="320"/>
        <w:ind w:left="8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- 7.5~7.6, 이라크-시리아 연계 안보환경, IS 잔존세력 대응 지속.</w:t>
      </w:r>
    </w:p>
    <w:p>
      <w:pPr>
        <w:spacing w:after="38" w:before="0" w:line="320"/>
        <w:ind w:left="11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북부 공습과 잔존세력 소탕 지연 보도가 이어지며 시리아 접경 및 북부 안보 불안이 완전히 해소되지 않은 상황.</w:t>
      </w:r>
    </w:p>
    <w:p>
      <w:pPr>
        <w:spacing w:after="38" w:before="0" w:line="320"/>
        <w:ind w:left="11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중동 역내 긴장과 국경지대 불안이 이라크 대테러 부담을 계속 자극하는 구조.</w:t>
      </w:r>
    </w:p>
    <w:p>
      <w:pPr>
        <w:spacing w:after="90" w:before="0" w:line="320"/>
        <w:ind w:left="11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☞ 북부·서부 취약지역 관련 사업과 이동은 역내 안보 변수까지 포함한 상시 모니터링 필요.</w:t>
      </w:r>
    </w:p>
    <w:p>
      <w:pPr>
        <w:spacing w:after="180" w:before="220" w:line="320"/>
        <w:jc w:val="left"/>
      </w:pPr>
      <w:r>
        <w:rPr>
          <w:rFonts w:ascii="Batang" w:cs="Batang" w:eastAsia="Batang" w:hAnsi="Batang"/>
          <w:b/>
          <w:bCs/>
          <w:i w:val="false"/>
          <w:iCs w:val="false"/>
          <w:sz w:val="32"/>
          <w:szCs w:val="32"/>
        </w:rPr>
        <w:t xml:space="preserve">3. 그룹 / 건설에 미치는 영향</w:t>
      </w:r>
    </w:p>
    <w:p>
      <w:pPr>
        <w:spacing w:after="48" w:before="0" w:line="320"/>
        <w:ind w:left="5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· 의회의 NIC 의장 심문과 반부패·감사 강화 흐름으로 투자·주택 관련 행정 절차의 재점검 가능성이 커진 만큼, 대관 업무와 인허가 일정은 보수적으로 관리할 필요.</w:t>
      </w:r>
    </w:p>
    <w:p>
      <w:pPr>
        <w:spacing w:after="48" w:before="0" w:line="320"/>
        <w:ind w:left="52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· 비스마야 전력 공급 우려, 바그다드 시위 가능성, IS 잔존 위협이 병존하는 상황으로 현장 운영·외부 업무·이동경호 계획에 대해 전력·치안 변수 반영 및 안전통제 강화 필요.</w:t>
      </w:r>
    </w:p>
    <w:sectPr>
      <w:footerReference w:type="default" r:id="rId7"/>
      <w:pgSz w:w="11906" w:h="16838" w:orient="portrait"/>
      <w:pgMar w:top="850" w:right="900" w:bottom="85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Batang" w:cs="Batang" w:eastAsia="Batang" w:hAnsi="Batang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tang" w:cs="Batang" w:eastAsia="Batang" w:hAnsi="Batang"/>
        <w:sz w:val="28"/>
        <w:szCs w:val="28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2026-07-07T04:06:23.273Z</dcterms:created>
  <dcterms:modified xsi:type="dcterms:W3CDTF">2026-07-07T04:06:23.274Z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