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C8F" w:rsidRDefault="009579E4" w:rsidP="00672C8F">
      <w:pPr>
        <w:shd w:val="clear" w:color="auto" w:fill="FFFFFF"/>
        <w:spacing w:after="0" w:line="360" w:lineRule="auto"/>
        <w:ind w:left="-1134" w:hanging="284"/>
        <w:jc w:val="both"/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</w:pPr>
      <w:r w:rsidRPr="003429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id-ID"/>
        </w:rPr>
        <w:t>.</w:t>
      </w:r>
      <w:r w:rsidRPr="00342955">
        <w:rPr>
          <w:rFonts w:ascii="Times New Roman" w:eastAsia="Times New Roman" w:hAnsi="Times New Roman" w:cs="Times New Roman"/>
          <w:color w:val="333333"/>
          <w:sz w:val="14"/>
          <w:szCs w:val="14"/>
          <w:lang w:val="id-ID"/>
        </w:rPr>
        <w:t>   </w:t>
      </w:r>
      <w:r w:rsidRPr="00342955">
        <w:rPr>
          <w:rFonts w:ascii="Times New Roman" w:eastAsia="Times New Roman" w:hAnsi="Times New Roman" w:cs="Times New Roman"/>
          <w:color w:val="333333"/>
          <w:sz w:val="14"/>
          <w:lang w:val="id-ID"/>
        </w:rPr>
        <w:t> </w:t>
      </w:r>
      <w:r w:rsidRPr="00342955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id-ID"/>
        </w:rPr>
        <w:t xml:space="preserve">Pengertian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Menurut bahasa, 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fawatih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 adalah jama’ dari kata 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fatih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  yang berarti awalan/pembuka. Sedangkan 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suwar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 adalah jama’ dari kata 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surah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 yang berarti sekumpulan ayat</w:t>
      </w:r>
    </w:p>
    <w:p w:rsidR="009579E4" w:rsidRPr="00672C8F" w:rsidRDefault="009579E4" w:rsidP="00672C8F">
      <w:pPr>
        <w:shd w:val="clear" w:color="auto" w:fill="FFFFFF"/>
        <w:spacing w:after="0" w:line="360" w:lineRule="auto"/>
        <w:ind w:left="-1134" w:hanging="284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-ayat Al-Qur’an yang diberi nama tertentu. Jadi, 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fawatih as-suwar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 berarti beberapa pembuka dari surah-surah Al-Qur’an / beberapa macam awalan dari surah-surah Al-Qur’an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hanging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B.</w:t>
      </w:r>
      <w:r w:rsidRPr="00672C8F">
        <w:rPr>
          <w:rFonts w:ascii="Times New Roman" w:eastAsia="Times New Roman" w:hAnsi="Times New Roman" w:cs="Times New Roman"/>
          <w:color w:val="333333"/>
          <w:sz w:val="18"/>
          <w:szCs w:val="18"/>
          <w:lang w:val="id-ID"/>
        </w:rPr>
        <w:t>     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Macam-macam Fawatih As-Suwar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Menurut Imam Al-Qasthalani dalam kitabnya 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Lathaiful Iayarati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,  fawatihush suwar dibedakan menjadi 10 macam, yaitu:</w:t>
      </w:r>
    </w:p>
    <w:p w:rsidR="009579E4" w:rsidRPr="00672C8F" w:rsidRDefault="009579E4" w:rsidP="009579E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Pembukaan dengan pujian kepada Allah SWT</w:t>
      </w:r>
    </w:p>
    <w:p w:rsidR="009579E4" w:rsidRPr="00672C8F" w:rsidRDefault="009579E4" w:rsidP="009579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Menetapkan sifat-sifat terpuji dengan menggunakan:</w:t>
      </w:r>
    </w:p>
    <w:p w:rsidR="009579E4" w:rsidRPr="00672C8F" w:rsidRDefault="009579E4" w:rsidP="009579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</w:pP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Hamdalah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, yang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terdapat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pada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5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surah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,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yaitu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:</w:t>
      </w:r>
    </w:p>
    <w:p w:rsidR="009579E4" w:rsidRPr="00672C8F" w:rsidRDefault="009579E4" w:rsidP="009579E4">
      <w:pPr>
        <w:pStyle w:val="ListParagraph"/>
        <w:shd w:val="clear" w:color="auto" w:fill="FFFFFF"/>
        <w:spacing w:after="0" w:line="360" w:lineRule="auto"/>
        <w:ind w:left="1590"/>
        <w:jc w:val="both"/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-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Surah Al-Kahfi dengan lafal</w:t>
      </w:r>
      <w:proofErr w:type="gram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  “</w:t>
      </w:r>
      <w:proofErr w:type="gram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>أَلحَمْدُلِلّهِ الَّذِيْ أَنْزَلَ عَلَى عَبْدِهِ الْكِتبَ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”</w:t>
      </w:r>
    </w:p>
    <w:p w:rsidR="009579E4" w:rsidRPr="00672C8F" w:rsidRDefault="009579E4" w:rsidP="009579E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ind w:left="1710" w:hanging="120"/>
        <w:jc w:val="both"/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</w:pP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Surah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Al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Furqon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dengan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lafal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”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>تَبَارَكَ الَّذيْ نَزَّلَ الْفُرْقأنَ عَلَى عَبْدِهِ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”</w:t>
      </w:r>
    </w:p>
    <w:p w:rsidR="009579E4" w:rsidRPr="00672C8F" w:rsidRDefault="009579E4" w:rsidP="009579E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</w:pP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Mensucikan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Allah SWT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dari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sifat-sifat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negatif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dengan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menggunakan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lafadz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tasbih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</w:p>
    <w:p w:rsidR="009579E4" w:rsidRPr="00672C8F" w:rsidRDefault="009579E4" w:rsidP="009579E4">
      <w:pPr>
        <w:pStyle w:val="ListParagraph"/>
        <w:shd w:val="clear" w:color="auto" w:fill="FFFFFF"/>
        <w:spacing w:after="0" w:line="360" w:lineRule="auto"/>
        <w:ind w:left="123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-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Surah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At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Taghobun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dengan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</w:t>
      </w:r>
      <w:proofErr w:type="spellStart"/>
      <w:proofErr w:type="gramStart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lafal</w:t>
      </w:r>
      <w:proofErr w:type="spellEnd"/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 xml:space="preserve">  </w:t>
      </w:r>
      <w:r w:rsidRPr="00672C8F">
        <w:rPr>
          <w:rFonts w:ascii="Permanent Marker" w:eastAsia="Times New Roman" w:hAnsi="Permanent Marker" w:cs="Times New Roman"/>
          <w:bCs/>
          <w:color w:val="333333"/>
          <w:sz w:val="18"/>
          <w:szCs w:val="18"/>
          <w:rtl/>
          <w:lang w:val="id-ID"/>
        </w:rPr>
        <w:t>س</w:t>
      </w:r>
      <w:proofErr w:type="gramEnd"/>
      <w:r w:rsidRPr="00672C8F">
        <w:rPr>
          <w:rFonts w:ascii="Permanent Marker" w:eastAsia="Times New Roman" w:hAnsi="Permanent Marker" w:cs="Times New Roman"/>
          <w:bCs/>
          <w:color w:val="333333"/>
          <w:sz w:val="18"/>
          <w:szCs w:val="18"/>
          <w:rtl/>
          <w:lang w:val="id-ID"/>
        </w:rPr>
        <w:t>َبِّحُ لِلهِ ما فِى السَّمواتِ وَما فِى الأَرْضِ</w:t>
      </w:r>
      <w:r w:rsidRPr="00672C8F"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  <w:t xml:space="preserve"> </w:t>
      </w:r>
    </w:p>
    <w:p w:rsidR="009579E4" w:rsidRPr="00672C8F" w:rsidRDefault="009579E4" w:rsidP="009579E4">
      <w:pPr>
        <w:shd w:val="clear" w:color="auto" w:fill="FFFFFF"/>
        <w:spacing w:after="0" w:line="360" w:lineRule="auto"/>
        <w:jc w:val="both"/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</w:pPr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2.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Pembukaan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dengan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huruf-huruf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yang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terputus-putus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gram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(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Huruf</w:t>
      </w:r>
      <w:proofErr w:type="spellEnd"/>
      <w:proofErr w:type="gram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Muqatha</w:t>
      </w:r>
      <w:r w:rsidRPr="00672C8F">
        <w:rPr>
          <w:rFonts w:ascii="Permanent Marker" w:eastAsia="Times New Roman" w:hAnsi="Permanent Marker" w:cs="Times New Roman" w:hint="eastAsia"/>
          <w:bCs/>
          <w:iCs/>
          <w:color w:val="333333"/>
          <w:sz w:val="18"/>
          <w:szCs w:val="18"/>
        </w:rPr>
        <w:t>’</w:t>
      </w:r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ah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)</w:t>
      </w:r>
    </w:p>
    <w:p w:rsidR="009579E4" w:rsidRPr="00672C8F" w:rsidRDefault="009579E4" w:rsidP="009579E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</w:pP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Terdiri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atas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satu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huruf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,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terdapat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pada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3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tempat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; Shad (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Surah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Shad),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Qaf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(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Surah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Qaf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), Nun (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Surah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Al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Qalam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).</w:t>
      </w:r>
    </w:p>
    <w:p w:rsidR="009579E4" w:rsidRPr="00672C8F" w:rsidRDefault="009579E4" w:rsidP="009579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270" w:hanging="270"/>
        <w:jc w:val="both"/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</w:pP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Pembukaan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dengan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 xml:space="preserve"> 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Nida</w:t>
      </w:r>
      <w:proofErr w:type="spellEnd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/</w:t>
      </w:r>
      <w:proofErr w:type="spellStart"/>
      <w:r w:rsidRPr="00672C8F"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  <w:t>panggilan</w:t>
      </w:r>
      <w:proofErr w:type="spellEnd"/>
    </w:p>
    <w:p w:rsidR="009579E4" w:rsidRPr="00672C8F" w:rsidRDefault="009579E4" w:rsidP="009579E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Permanent Marker" w:eastAsia="Times New Roman" w:hAnsi="Permanent Marker" w:cs="Times New Roman"/>
          <w:bCs/>
          <w:i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Nida untuk umat manusia 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</w:rPr>
        <w:t>ياأيها الناس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 terdapat dalam Q.S. An Nisa dan Q.S. Al Hajj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</w:rPr>
        <w:t>.</w:t>
      </w:r>
    </w:p>
    <w:p w:rsidR="009579E4" w:rsidRPr="00672C8F" w:rsidRDefault="009579E4" w:rsidP="009579E4">
      <w:pPr>
        <w:shd w:val="clear" w:color="auto" w:fill="FFFFFF"/>
        <w:spacing w:after="0" w:line="360" w:lineRule="auto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4.      Pembukaan dengan Jumlah Khabariyah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Jumlah khabariyah dalam pembukaan surat ada dua macam, yaitu :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left="270" w:firstLine="9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  <w:lang w:val="id-ID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a.       Jumlah Ismiyyah, 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-          Surah Al-Kautsar dengan lafal”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>يْنَاكَ الكَوْثَرَ إِنآَاَعْطَ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 “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b.      Jumlah Fi’liyyah,: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-          Surah Al-Anfal dengan lafal 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يَسْئَلُوْنَكَ عَنِ الأَنْفالِ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“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left="90" w:hanging="9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5.      Pembukaan dengan sumpah/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qasam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Terdapat dalam 15 surah, yaitu: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a.       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shd w:val="clear" w:color="auto" w:fill="FAFAFA"/>
          <w:lang w:val="id-ID"/>
        </w:rPr>
        <w:t xml:space="preserve">Sumpah dengan benda-benda angkasa, 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-          Surah Ash-Shaaffat dengan lafal 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وَالصَّفّتِ صَفَّا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“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b.      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shd w:val="clear" w:color="auto" w:fill="FAFAFA"/>
          <w:lang w:val="id-ID"/>
        </w:rPr>
        <w:t xml:space="preserve">Sumpah dengan benda-benda bawah, 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-          Surah Adz-Dzariyat dengan lafal  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وَالذَّارِيتِ ذَرْوًا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“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c.       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shd w:val="clear" w:color="auto" w:fill="FAFAFA"/>
          <w:lang w:val="id-ID"/>
        </w:rPr>
        <w:t>Sumpah dengan waktu,: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-          Surah Al-Lail dengan lafal 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وَالَّيْلِ أِذَايَغْشَى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“</w:t>
      </w:r>
    </w:p>
    <w:p w:rsidR="009579E4" w:rsidRPr="00672C8F" w:rsidRDefault="009579E4" w:rsidP="009579E4">
      <w:pPr>
        <w:shd w:val="clear" w:color="auto" w:fill="FFFFFF"/>
        <w:spacing w:after="0" w:line="360" w:lineRule="auto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6.      Pembukaan dengan syarat </w:t>
      </w:r>
    </w:p>
    <w:p w:rsidR="009579E4" w:rsidRPr="00672C8F" w:rsidRDefault="009579E4" w:rsidP="009579E4">
      <w:pPr>
        <w:shd w:val="clear" w:color="auto" w:fill="FFFFFF"/>
        <w:tabs>
          <w:tab w:val="left" w:pos="360"/>
        </w:tabs>
        <w:spacing w:after="0" w:line="360" w:lineRule="auto"/>
        <w:ind w:left="360"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Syarat-syarat yang dipakai Allah sebagai pembukaan surah-surah Al-Qur’an 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a.       Syarat yang masuk pada jumlah ismiyah, 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-          Surah At-Takwir dengan lafal 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إِذَالشَّمْسُ كُوِّرَتْ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“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b.      Syarat yang masuk pada jumlah fi’liyah, 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-          Surah Al-Waqi’ah dengan lafal 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إِذَا وَقَعَتِ الوَاقِعَةِ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“</w:t>
      </w:r>
    </w:p>
    <w:p w:rsidR="009579E4" w:rsidRPr="00672C8F" w:rsidRDefault="009579E4" w:rsidP="009579E4">
      <w:pPr>
        <w:shd w:val="clear" w:color="auto" w:fill="FFFFFF"/>
        <w:spacing w:after="0" w:line="360" w:lineRule="auto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7.      Pembukaan dengan 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fi’il amar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left="360"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  <w:lang w:val="id-ID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Ada 6 fi’il amar yang dipakai untuk membuka surah-surah al-Qur’an, yang terdiri dari 2 lafal dan digunakan untuk membuka 6 surah-surah sebagai berikut: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left="360"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  <w:lang w:val="id-ID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a.      </w:t>
      </w:r>
      <w:r w:rsidRPr="00672C8F">
        <w:rPr>
          <w:rFonts w:ascii="Times New Roman" w:eastAsia="Times New Roman" w:hAnsi="Times New Roman" w:cs="Times New Roman"/>
          <w:bCs/>
          <w:iCs/>
          <w:color w:val="333333"/>
          <w:sz w:val="18"/>
          <w:szCs w:val="18"/>
          <w:lang w:val="id-ID"/>
        </w:rPr>
        <w:t>Dengan fi’il amar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 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>قُلْ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, 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yang digunakan dalam 5 surah sebagai berikut: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  <w:lang w:val="id-ID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-          Surah Al-Kafirun dengan lafal”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قُلْ يآأَيُّهَاالكفِرُوْنَ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” </w:t>
      </w:r>
    </w:p>
    <w:p w:rsidR="009579E4" w:rsidRPr="00672C8F" w:rsidRDefault="009579E4" w:rsidP="009579E4">
      <w:pPr>
        <w:shd w:val="clear" w:color="auto" w:fill="FFFFFF"/>
        <w:spacing w:after="0" w:line="360" w:lineRule="auto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  <w:lang w:val="id-ID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8.      Pembukaan dengan pertanyaan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left="720" w:hanging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a.       Pertanyaan positif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, 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yaitu bentuk pertanyaan yang dengan kalimat positif yang tidak ada alat negatifnya. 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-          Surah Al-Ma’un, dengan lafal: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117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 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أَرَءَيْتَ الَّذِيْ يُكَذِّبُ بِالدِّيْنِ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”                               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b.      Pertanyaan negatif, yaitu pertanyaan yang dalam kalimat negatif. Diantaranya: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72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  <w:lang w:val="id-ID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-          Surah al-Insyirah dengan lafal 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أَلَمْ نَشْرَحْ لَكَ صَدْرْكَ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“</w:t>
      </w:r>
    </w:p>
    <w:p w:rsidR="009579E4" w:rsidRPr="00672C8F" w:rsidRDefault="009579E4" w:rsidP="009579E4">
      <w:pPr>
        <w:shd w:val="clear" w:color="auto" w:fill="FFFFFF"/>
        <w:spacing w:after="0" w:line="360" w:lineRule="auto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9.      Pembukaan dengan do’a (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Al-Istiftaahu Bid Du’aai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).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a.       Do’a atau harapan yang berbentuk kata benda 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(Ad-Du’aaul Ismiyyu)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ada di 2 surat yaitu:</w:t>
      </w:r>
      <w:r w:rsidRPr="00672C8F">
        <w:rPr>
          <w:rFonts w:ascii="Permanent Marker" w:eastAsia="Times New Roman" w:hAnsi="Permanent Marker" w:cs="Times New Roman"/>
          <w:bCs/>
          <w:color w:val="333333"/>
          <w:sz w:val="18"/>
          <w:szCs w:val="18"/>
          <w:lang w:val="id-ID"/>
        </w:rPr>
        <w:t xml:space="preserve">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-          Surah Al-Humazah, dengan lafal: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firstLine="117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وَيْلٌ لِكُلِّ هُمَزَةٍ لُّمَزَ ةٌ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“</w:t>
      </w:r>
    </w:p>
    <w:p w:rsidR="009579E4" w:rsidRPr="00672C8F" w:rsidRDefault="009579E4" w:rsidP="009579E4">
      <w:pPr>
        <w:shd w:val="clear" w:color="auto" w:fill="FFFFFF"/>
        <w:spacing w:after="0" w:line="360" w:lineRule="auto"/>
        <w:ind w:left="720" w:hanging="360"/>
        <w:jc w:val="both"/>
        <w:rPr>
          <w:rFonts w:ascii="Permanent Marker" w:eastAsia="Times New Roman" w:hAnsi="Permanent Marker" w:cs="Times New Roman"/>
          <w:bCs/>
          <w:color w:val="333333"/>
          <w:sz w:val="18"/>
          <w:szCs w:val="18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b.      Do’a atau harapan yang berbentuk kata kerja 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(Ad-Du’aaul Fi’liyu)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 xml:space="preserve"> membuka satu surah saja yaitu surah Al-Lahab   ”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rtl/>
          <w:lang w:val="id-ID"/>
        </w:rPr>
        <w:t xml:space="preserve">لَهَبٍ وَتَبَّ تَبَّــتْ يَدَاأَبِى 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“</w:t>
      </w:r>
    </w:p>
    <w:p w:rsidR="00D95C8C" w:rsidRDefault="009579E4" w:rsidP="00D95C8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</w:pP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10.  Pembukaan dengan alasan (</w:t>
      </w:r>
      <w:r w:rsidRPr="00672C8F">
        <w:rPr>
          <w:rFonts w:ascii="Times New Roman" w:eastAsia="Times New Roman" w:hAnsi="Times New Roman" w:cs="Times New Roman"/>
          <w:bCs/>
          <w:i/>
          <w:iCs/>
          <w:color w:val="333333"/>
          <w:sz w:val="18"/>
          <w:szCs w:val="18"/>
          <w:lang w:val="id-ID"/>
        </w:rPr>
        <w:t>Al-Istiftaahu Bit-Ta’lili</w:t>
      </w:r>
      <w:r w:rsidRPr="00672C8F"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  <w:t>).</w:t>
      </w:r>
    </w:p>
    <w:p w:rsidR="00D95C8C" w:rsidRPr="00D95C8C" w:rsidRDefault="00D95C8C" w:rsidP="00D95C8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333333"/>
          <w:sz w:val="18"/>
          <w:szCs w:val="18"/>
          <w:lang w:val="id-ID"/>
        </w:rPr>
      </w:pPr>
    </w:p>
    <w:p w:rsidR="001F63F5" w:rsidRPr="00D95C8C" w:rsidRDefault="001F63F5" w:rsidP="001F63F5">
      <w:p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lastRenderedPageBreak/>
        <w:t>Pengertian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Mutasyabih</w:t>
      </w:r>
      <w:proofErr w:type="spellEnd"/>
    </w:p>
    <w:p w:rsidR="001F63F5" w:rsidRPr="00D95C8C" w:rsidRDefault="001F63F5" w:rsidP="001F63F5">
      <w:pPr>
        <w:ind w:firstLine="720"/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r w:rsidRPr="00D95C8C">
        <w:rPr>
          <w:rStyle w:val="Normal"/>
          <w:rFonts w:ascii="Times New Roman" w:eastAsia="Calibri" w:hAnsi="Times New Roman" w:cs="Arial"/>
          <w:sz w:val="18"/>
          <w:szCs w:val="18"/>
          <w:lang w:val="id-ID"/>
        </w:rPr>
        <w:t xml:space="preserve">Kata Mutasyabih berasal dari kata tasyabuh, yang secara bahasa berarti keserupaan dan kesamaan yang biasanya membawa kepada kesamaran antara dua hal.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Tasyabaha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,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Isytabaha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sama</w:t>
      </w:r>
      <w:proofErr w:type="spellEnd"/>
      <w:proofErr w:type="gram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dengan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Asybaha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(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mirip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,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serupa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,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sama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)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satu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dengan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yang lain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sehingga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menjadi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kabur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,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tercampur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. </w:t>
      </w:r>
      <w:proofErr w:type="spellStart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Sedangkan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secara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terminoligi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Mutasyabih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berarti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ayat-ayat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yang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belum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jelas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maksudnya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,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mempunyai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banyak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kemungkinan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takwilnya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,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atau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maknanya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yang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tersembunyi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,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memerlukan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keterangan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tertentu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,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atau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hanya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Allah yang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mengetahuinya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.</w:t>
      </w:r>
      <w:proofErr w:type="gramEnd"/>
    </w:p>
    <w:p w:rsidR="001F63F5" w:rsidRPr="00D95C8C" w:rsidRDefault="001F63F5" w:rsidP="001F63F5">
      <w:p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</w:p>
    <w:p w:rsidR="001F63F5" w:rsidRPr="00D95C8C" w:rsidRDefault="001F63F5" w:rsidP="001F63F5">
      <w:p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2.</w:t>
      </w:r>
      <w:r w:rsidRPr="00D95C8C">
        <w:rPr>
          <w:rStyle w:val="Normal"/>
          <w:rFonts w:ascii="Times New Roman" w:eastAsia="Calibri" w:hAnsi="Times New Roman" w:cs="Arial"/>
          <w:sz w:val="18"/>
          <w:szCs w:val="18"/>
          <w:lang w:val="id-ID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Sebab-Sebab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Terjadinya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Tasyabuh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dalam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Alquran</w:t>
      </w:r>
      <w:proofErr w:type="spellEnd"/>
    </w:p>
    <w:p w:rsidR="001F63F5" w:rsidRPr="00D95C8C" w:rsidRDefault="001F63F5" w:rsidP="001F63F5">
      <w:pPr>
        <w:ind w:firstLine="720"/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proofErr w:type="spellStart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Penyebab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 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terjadinya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tasyabuh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dalam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Alquran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Secara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ringkas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dapat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dikatakan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bahwa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sebab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tasyabuh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atau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mutasyabih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adalah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ketersembunyian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maksud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bahwa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ketersembunyian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itu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bisa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kembali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kepada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lafal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atau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kepada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makna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atau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kepada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lafal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makna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sekaligus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.</w:t>
      </w:r>
      <w:proofErr w:type="gram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Penyebabnya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yaitu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:</w:t>
      </w:r>
    </w:p>
    <w:p w:rsidR="001F63F5" w:rsidRPr="00D95C8C" w:rsidRDefault="001F63F5" w:rsidP="001F63F5">
      <w:pPr>
        <w:numPr>
          <w:ilvl w:val="0"/>
          <w:numId w:val="7"/>
        </w:num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Ketersembunyian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pada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lafal</w:t>
      </w:r>
      <w:proofErr w:type="spellEnd"/>
    </w:p>
    <w:p w:rsidR="001F63F5" w:rsidRPr="00D95C8C" w:rsidRDefault="001F63F5" w:rsidP="001F63F5">
      <w:p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proofErr w:type="spellStart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Lafal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(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abbun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)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disini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mutasyabih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karena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ganjil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jarangnya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digunakan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.</w:t>
      </w:r>
      <w:proofErr w:type="gram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kata</w:t>
      </w:r>
      <w:proofErr w:type="spellEnd"/>
      <w:proofErr w:type="gram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(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abbun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)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diartikan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rumput-rumputan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.</w:t>
      </w:r>
    </w:p>
    <w:p w:rsidR="001F63F5" w:rsidRPr="00D95C8C" w:rsidRDefault="001F63F5" w:rsidP="001F63F5">
      <w:pPr>
        <w:numPr>
          <w:ilvl w:val="0"/>
          <w:numId w:val="7"/>
        </w:num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Ketersembunyian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pada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makna</w:t>
      </w:r>
      <w:proofErr w:type="spellEnd"/>
    </w:p>
    <w:p w:rsidR="001F63F5" w:rsidRPr="00D95C8C" w:rsidRDefault="001F63F5" w:rsidP="001F63F5">
      <w:p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proofErr w:type="spellStart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ini</w:t>
      </w:r>
      <w:proofErr w:type="spellEnd"/>
      <w:proofErr w:type="gram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terjadi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bukan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karena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lafaz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yang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asing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atau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bermakna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ganda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tetapi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karena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keterbatasan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akal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manusia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untuk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menjangkau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ayat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ayat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tersebut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contoh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dalam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Al Qur’an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tentang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sifat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sifat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surga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.</w:t>
      </w:r>
    </w:p>
    <w:p w:rsidR="001F63F5" w:rsidRPr="00D95C8C" w:rsidRDefault="001F63F5" w:rsidP="001F63F5">
      <w:pPr>
        <w:numPr>
          <w:ilvl w:val="0"/>
          <w:numId w:val="7"/>
        </w:num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Ketersembunyian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 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pada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lafal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makna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sekaligus</w:t>
      </w:r>
      <w:proofErr w:type="spellEnd"/>
    </w:p>
    <w:p w:rsidR="001F63F5" w:rsidRPr="00D95C8C" w:rsidRDefault="001F63F5" w:rsidP="001F63F5">
      <w:p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Ayat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ayat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mutasyabih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tentang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sifat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sifat</w:t>
      </w:r>
      <w:proofErr w:type="spellEnd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  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tuhan</w:t>
      </w:r>
      <w:proofErr w:type="spellEnd"/>
      <w:proofErr w:type="gram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sebagainya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.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Mutasyabih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yang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timbul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dari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ketersembunyian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pada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makna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lafal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sekaligus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seperti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berikut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ini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Artinya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: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bukanlah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kebajikan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memasuki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rumah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rumah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dari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belakang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tetapi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kebajikan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itu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ialah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kebajikan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orang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yang </w:t>
      </w:r>
      <w:proofErr w:type="spellStart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bertakwa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.</w:t>
      </w:r>
      <w:proofErr w:type="gram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proofErr w:type="gram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masuklah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kerumah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rumah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itu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dari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pintu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pintunyadan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bertakwalah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kepada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Allah agar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kamu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beruntung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.(Al baqarah:184)</w:t>
      </w:r>
    </w:p>
    <w:p w:rsidR="001F63F5" w:rsidRPr="00D95C8C" w:rsidRDefault="001F63F5" w:rsidP="001F63F5">
      <w:pPr>
        <w:jc w:val="both"/>
        <w:rPr>
          <w:rStyle w:val="Normal"/>
          <w:rFonts w:ascii="Times New Roman" w:eastAsia="Calibri" w:hAnsi="Times New Roman" w:cs="Arial"/>
          <w:sz w:val="18"/>
          <w:szCs w:val="18"/>
        </w:rPr>
      </w:pP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Ayat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ini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tidak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dapat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dipahami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oleh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orang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yang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tidak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mengetahui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adat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bangsa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proofErr w:type="gram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arab</w:t>
      </w:r>
      <w:proofErr w:type="spellEnd"/>
      <w:proofErr w:type="gram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dizaman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jahiliah.Diriwayatkan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bahwa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beberapa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orang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ansar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jika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berihram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untuk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haji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dan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umrah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tak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seorang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pun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mereka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mau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memasuki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pagar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atau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rumah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dari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 xml:space="preserve"> </w:t>
      </w:r>
      <w:proofErr w:type="spellStart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pintunya</w:t>
      </w:r>
      <w:proofErr w:type="spellEnd"/>
      <w:r w:rsidRPr="00D95C8C">
        <w:rPr>
          <w:rStyle w:val="Normal"/>
          <w:rFonts w:ascii="Times New Roman" w:eastAsia="Calibri" w:hAnsi="Times New Roman" w:cs="Arial"/>
          <w:sz w:val="18"/>
          <w:szCs w:val="18"/>
        </w:rPr>
        <w:t>.</w:t>
      </w:r>
    </w:p>
    <w:p w:rsidR="001F63F5" w:rsidRPr="001F63F5" w:rsidRDefault="001F63F5" w:rsidP="001F63F5">
      <w:pPr>
        <w:rPr>
          <w:lang w:eastAsia="zh-CN"/>
        </w:rPr>
      </w:pPr>
    </w:p>
    <w:sectPr w:rsidR="001F63F5" w:rsidRPr="001F63F5" w:rsidSect="00672C8F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manent Mark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3C8"/>
    <w:multiLevelType w:val="hybridMultilevel"/>
    <w:tmpl w:val="9FFAC08C"/>
    <w:lvl w:ilvl="0" w:tplc="076639E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2DBE13E7"/>
    <w:multiLevelType w:val="hybridMultilevel"/>
    <w:tmpl w:val="2E0CE660"/>
    <w:lvl w:ilvl="0" w:tplc="C85AA7E2">
      <w:start w:val="2"/>
      <w:numFmt w:val="bullet"/>
      <w:lvlText w:val="-"/>
      <w:lvlJc w:val="left"/>
      <w:pPr>
        <w:ind w:left="19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>
    <w:nsid w:val="402C2A07"/>
    <w:multiLevelType w:val="hybridMultilevel"/>
    <w:tmpl w:val="A1047F3C"/>
    <w:lvl w:ilvl="0" w:tplc="E5E2B8B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8E91EC1"/>
    <w:multiLevelType w:val="hybridMultilevel"/>
    <w:tmpl w:val="48042762"/>
    <w:lvl w:ilvl="0" w:tplc="33F83904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">
    <w:nsid w:val="6E307C9A"/>
    <w:multiLevelType w:val="hybridMultilevel"/>
    <w:tmpl w:val="E9285C42"/>
    <w:lvl w:ilvl="0" w:tplc="F62C95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41C9D"/>
    <w:multiLevelType w:val="hybridMultilevel"/>
    <w:tmpl w:val="AF0258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7550F"/>
    <w:multiLevelType w:val="hybridMultilevel"/>
    <w:tmpl w:val="6EA8ABFE"/>
    <w:lvl w:ilvl="0" w:tplc="88BE407E">
      <w:start w:val="1"/>
      <w:numFmt w:val="lowerLetter"/>
      <w:lvlText w:val="%1."/>
      <w:lvlJc w:val="left"/>
      <w:pPr>
        <w:ind w:left="1230" w:hanging="510"/>
      </w:pPr>
      <w:rPr>
        <w:rFonts w:ascii="Permanent Marker" w:hAnsi="Permanent Marker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9E4"/>
    <w:rsid w:val="001F507C"/>
    <w:rsid w:val="001F63F5"/>
    <w:rsid w:val="00672C8F"/>
    <w:rsid w:val="009579E4"/>
    <w:rsid w:val="009F5510"/>
    <w:rsid w:val="00D9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E4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3F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9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63F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Jagal Corporation</Company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2</cp:revision>
  <cp:lastPrinted>2019-01-12T05:20:00Z</cp:lastPrinted>
  <dcterms:created xsi:type="dcterms:W3CDTF">2019-01-12T03:30:00Z</dcterms:created>
  <dcterms:modified xsi:type="dcterms:W3CDTF">2019-01-12T05:47:00Z</dcterms:modified>
</cp:coreProperties>
</file>