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Codex Research Loop 设计报告与 J1030 课题成果展示</w:t>
      </w:r>
    </w:p>
    <w:p>
      <w:pPr>
        <w:jc w:val="center"/>
      </w:pPr>
      <w:r>
        <w:rPr>
          <w:rFonts w:ascii="Calibri" w:hAnsi="Calibri" w:eastAsia="Microsoft YaHei"/>
          <w:color w:val="555555"/>
          <w:sz w:val="20"/>
        </w:rPr>
        <w:t>插件版本 0.9.5+codex.20260711081523 | 报告日期 2026-07-11</w:t>
      </w:r>
    </w:p>
    <w:p>
      <w:pPr>
        <w:pStyle w:val="Heading1"/>
      </w:pPr>
      <w:r>
        <w:rPr>
          <w:rFonts w:ascii="Calibri" w:hAnsi="Calibri" w:eastAsia="Microsoft YaHei"/>
        </w:rPr>
        <w:t>摘要</w:t>
      </w:r>
    </w:p>
    <w:p>
      <w:r>
        <w:rPr>
          <w:rFonts w:ascii="Calibri" w:hAnsi="Calibri" w:eastAsia="Microsoft YaHei"/>
        </w:rPr>
        <w:t>本报告总结 Codex Research Loop 的设计目标、架构、核心链路、深循环机制、无人值守执行方式和跨项目复用方法，并以 J1030 深场公开目录课题作为一次完整成果展示。该 loop 的定位不是单一自动化脚本，而是科研项目的控制平面。</w:t>
      </w:r>
    </w:p>
    <w:p>
      <w:r>
        <w:rPr>
          <w:rFonts w:ascii="Calibri" w:hAnsi="Calibri" w:eastAsia="Microsoft YaHei"/>
        </w:rPr>
        <w:t>在 J1030 课题中，loop 完成了从粗糙课题输入到正式科研报告的闭环：建立项目护照和存储规范，导入公开文献与目录材料，生成候选体分析表、图件和正式 DOCX 报告，并通过 P8 评审阀门。</w:t>
      </w:r>
    </w:p>
    <w:p>
      <w:pPr>
        <w:pStyle w:val="Heading1"/>
      </w:pPr>
      <w:r>
        <w:rPr>
          <w:rFonts w:ascii="Calibri" w:hAnsi="Calibri" w:eastAsia="Microsoft YaHei"/>
        </w:rPr>
        <w:t>1. 设计目标</w:t>
      </w:r>
    </w:p>
    <w:p>
      <w:pPr>
        <w:pStyle w:val="ListBullet"/>
      </w:pPr>
      <w:r>
        <w:rPr>
          <w:rFonts w:ascii="Calibri" w:hAnsi="Calibri" w:eastAsia="Microsoft YaHei"/>
        </w:rPr>
        <w:t>把低结构自然语言输入转化为项目化、可执行、可验证的工作提示。</w:t>
      </w:r>
    </w:p>
    <w:p>
      <w:pPr>
        <w:pStyle w:val="ListBullet"/>
      </w:pPr>
      <w:r>
        <w:rPr>
          <w:rFonts w:ascii="Calibri" w:hAnsi="Calibri" w:eastAsia="Microsoft YaHei"/>
        </w:rPr>
        <w:t>把文献、数据、方法、分析、写作、评审、发布和问题诊断组织为多通路链路。</w:t>
      </w:r>
    </w:p>
    <w:p>
      <w:pPr>
        <w:pStyle w:val="ListBullet"/>
      </w:pPr>
      <w:r>
        <w:rPr>
          <w:rFonts w:ascii="Calibri" w:hAnsi="Calibri" w:eastAsia="Microsoft YaHei"/>
        </w:rPr>
        <w:t>用通用阀门控制继续、重试、升级问题链或暂停给人类。</w:t>
      </w:r>
    </w:p>
    <w:p>
      <w:pPr>
        <w:pStyle w:val="ListBullet"/>
      </w:pPr>
      <w:r>
        <w:rPr>
          <w:rFonts w:ascii="Calibri" w:hAnsi="Calibri" w:eastAsia="Microsoft YaHei"/>
        </w:rPr>
        <w:t>将失败诊断隔离在核心链路外，过提升阀门后才允许改动主项目。</w:t>
      </w:r>
    </w:p>
    <w:p>
      <w:pPr>
        <w:pStyle w:val="Heading1"/>
      </w:pPr>
      <w:r>
        <w:rPr>
          <w:rFonts w:ascii="Calibri" w:hAnsi="Calibri" w:eastAsia="Microsoft YaHei"/>
        </w:rPr>
        <w:t>2. 总体架构</w:t>
      </w:r>
    </w:p>
    <w:p>
      <w:pPr>
        <w:pStyle w:val="Heading2"/>
      </w:pPr>
      <w:r>
        <w:rPr>
          <w:rFonts w:ascii="Calibri" w:hAnsi="Calibri" w:eastAsia="Microsoft YaHei"/>
        </w:rPr>
        <w:t>2.1 思维导图</w:t>
      </w:r>
    </w:p>
    <w:p>
      <w:r>
        <w:rPr>
          <w:rFonts w:ascii="Calibri" w:hAnsi="Calibri" w:eastAsia="Microsoft YaHei"/>
        </w:rPr>
        <w:t>思维导图概括了 loop 的核心结构：自然语言输入先进入 normalize 与 route，随后由共享节点分发给 P1-P10 多条科研子链路；deep-loop 负责评估当前链路是否通过，auto-loop 负责消费该决策并继续无人值守执行；当项目出现阻碍时，P10 问题诊断链在隔离环境中生成专家评估和调整方案。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_research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A  Codex Research Loop 科研工作流思维导图</w:t>
      </w:r>
    </w:p>
    <w:p>
      <w:pPr>
        <w:pStyle w:val="Heading2"/>
      </w:pPr>
      <w:r>
        <w:rPr>
          <w:rFonts w:ascii="Calibri" w:hAnsi="Calibri" w:eastAsia="Microsoft YaHei"/>
        </w:rPr>
        <w:t>2.2 插件组成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2500"/>
        <w:gridCol w:w="49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实现入口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作用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状态与护照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.research-loop/state.json, material-passport.json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跨线程保存课题、材料、主张、证据、风险、下一步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自然语言入口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normalize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把低结构输入转化为可执行 prompt、任务类型、链路深度和缺失槽位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多通路路由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route, P1-P10, N0-N9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按科研阶段选择多个子链路，并让共享节点负责分发和回流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存储规范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storage-policy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在旧项目中自适应映射，在新项目中初始化 canonical 科研目录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素材摄取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content-ingest, source-hub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文章进入文章链路，数据进入标准数据包，来源元数据进入证据系统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证据阀门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claim-evidence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结构化检查 claim 与 evidence 的连接、来源、定位和状态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深循环阀门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deep-loop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产出 route_next, retry_same_route, escalate_problem_loop, pause_for_human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无人值守执行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auto-loop --auto-route-next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 deep-loop 决策交给执行器，触发下一链路或同链路重试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问题诊断链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problem-loop, problem-promote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在隔离 scratch lab 中生成专家组、测试和调整方案，过闸后才改核心文件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外部生态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Zotero, llm-wiki, Codex CLI, MCP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支持文献库、知识库、跨线程调用和自动代理启动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2.3 多链路科研流程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3100"/>
        <w:gridCol w:w="53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链路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scoping-question-chain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问题定义、边界、研究目标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literature-evidence-chain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文献发现、文章摄取、证据记录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claim-contribution-chain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主张、贡献、创新性和证据对应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method-experiment-compliance-chain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方法设计、实验协议、合规检查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data-code-execution-chain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数据、代码、运行日志和复现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analysis-statistics-figure-chain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分析、统计、表格和图形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writing-citation-format-chain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写作、引用、DOCX/LaTeX/PDF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review-revision-integrity-chain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评审、修订、完整性阀门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submission-publication-reuse-chain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提交包、发布、复用和后续种子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problem-resolution-expert-chain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阻碍诊断、专家组、隔离调整与提升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2.4 共享节点</w:t>
      </w:r>
    </w:p>
    <w:p>
      <w:r>
        <w:rPr>
          <w:rFonts w:ascii="Calibri" w:hAnsi="Calibri" w:eastAsia="Microsoft YaHei"/>
        </w:rPr>
        <w:t>P1-P10 子链路之外，系统设置 N0-N9 共享节点：状态读取、任务接收、深度分配、预检、分发、物料登记、账本更新、质量阀门、检查点交接和失败回流。共享节点让多任务可以共用入口、证据和阀门，而不是被压成一条线性流程。</w:t>
      </w:r>
    </w:p>
    <w:p>
      <w:pPr>
        <w:pStyle w:val="Heading1"/>
      </w:pPr>
      <w:r>
        <w:rPr>
          <w:rFonts w:ascii="Calibri" w:hAnsi="Calibri" w:eastAsia="Microsoft YaHei"/>
        </w:rPr>
        <w:t>3. 深循环与无人值守机制</w:t>
      </w:r>
    </w:p>
    <w:p>
      <w:r>
        <w:rPr>
          <w:rFonts w:ascii="Calibri" w:hAnsi="Calibri" w:eastAsia="Microsoft YaHei"/>
        </w:rPr>
        <w:t>深循环由两层组成：deep-loop 负责评估当前子链路并生成 route_next、retry_same_route、escalate_problem_loop 或 pause_for_human；auto-loop --auto-route-next 负责消费 deep-loop 决策并真正启动下一子链路或同链路重试。</w:t>
      </w:r>
    </w:p>
    <w:p>
      <w:r>
        <w:rPr>
          <w:rFonts w:ascii="Calibri" w:hAnsi="Calibri" w:eastAsia="Microsoft YaHei"/>
        </w:rPr>
        <w:t>这一分层是关键工程边界。单独运行 deep-loop 只会生成路由指令，不会自动进入下一链路。无人值守运行必须由 auto-loop 接管，并配置 route-agent codex 或自定义 route-agent-command。</w:t>
      </w:r>
    </w:p>
    <w:p>
      <w:pPr>
        <w:pStyle w:val="Heading1"/>
      </w:pPr>
      <w:r>
        <w:rPr>
          <w:rFonts w:ascii="Calibri" w:hAnsi="Calibri" w:eastAsia="Microsoft YaHei"/>
        </w:rPr>
        <w:t>4. 问题诊断链设计</w:t>
      </w:r>
    </w:p>
    <w:p>
      <w:pPr>
        <w:pStyle w:val="ListBullet"/>
      </w:pPr>
      <w:r>
        <w:rPr>
          <w:rFonts w:ascii="Calibri" w:hAnsi="Calibri" w:eastAsia="Microsoft YaHei"/>
        </w:rPr>
        <w:t>读取项目背景、状态、材料、路由图和现有日志。</w:t>
      </w:r>
    </w:p>
    <w:p>
      <w:pPr>
        <w:pStyle w:val="ListBullet"/>
      </w:pPr>
      <w:r>
        <w:rPr>
          <w:rFonts w:ascii="Calibri" w:hAnsi="Calibri" w:eastAsia="Microsoft YaHei"/>
        </w:rPr>
        <w:t>生成固定角色专家和现场构建专家。</w:t>
      </w:r>
    </w:p>
    <w:p>
      <w:pPr>
        <w:pStyle w:val="ListBullet"/>
      </w:pPr>
      <w:r>
        <w:rPr>
          <w:rFonts w:ascii="Calibri" w:hAnsi="Calibri" w:eastAsia="Microsoft YaHei"/>
        </w:rPr>
        <w:t>在 scratch/research-loop-labs/&lt;case-id&gt;/ 中保存诊断、测试和调整方案。</w:t>
      </w:r>
    </w:p>
    <w:p>
      <w:pPr>
        <w:pStyle w:val="ListBullet"/>
      </w:pPr>
      <w:r>
        <w:rPr>
          <w:rFonts w:ascii="Calibri" w:hAnsi="Calibri" w:eastAsia="Microsoft YaHei"/>
        </w:rPr>
        <w:t>通过 problem-promote 提升阀门后，才允许把调整方案推广到主链路。</w:t>
      </w:r>
    </w:p>
    <w:p>
      <w:pPr>
        <w:pStyle w:val="Heading1"/>
      </w:pPr>
      <w:r>
        <w:rPr>
          <w:rFonts w:ascii="Calibri" w:hAnsi="Calibri" w:eastAsia="Microsoft YaHei"/>
        </w:rPr>
        <w:t>5. 跨电脑复用</w:t>
      </w:r>
    </w:p>
    <w:p>
      <w:r>
        <w:rPr>
          <w:rFonts w:ascii="Calibri" w:hAnsi="Calibri" w:eastAsia="Microsoft YaHei"/>
        </w:rPr>
        <w:t>另一台电脑只需克隆公开仓库，并在目标项目中运行 init 与 storage。GitHub 仓库存放插件源码，不携带某个项目的私有材料和运行账本；迁移旧项目时需要连同 .research-loop/ 一起复制项目目录。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6. J1030 课题应用成果</w:t>
      </w:r>
    </w:p>
    <w:p>
      <w:pPr>
        <w:pStyle w:val="Heading2"/>
      </w:pPr>
      <w:r>
        <w:rPr>
          <w:rFonts w:ascii="Calibri" w:hAnsi="Calibri" w:eastAsia="Microsoft YaHei"/>
        </w:rPr>
        <w:t>6.1 课题定义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课题名称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J1030 Public-catalog Obscured AGN Candidate Search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研究领域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X-ray astronomy; SMBH; obscured AGN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目标场景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X-SMBH course final project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研究问题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Can public J1030 catalog data alone identify a physically meaningful subset of heavily obscured AGN candidates, and does XID361 naturally appear as an X-ray-underluminous high-priority source?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6.2 执行链路</w:t>
      </w:r>
    </w:p>
    <w:p>
      <w:pPr>
        <w:pStyle w:val="ListBullet"/>
      </w:pPr>
      <w:r>
        <w:rPr>
          <w:rFonts w:ascii="Calibri" w:hAnsi="Calibri" w:eastAsia="Microsoft YaHei"/>
        </w:rPr>
        <w:t>P1/P2：根据课程大纲和课题草案明确公开目录 AGN 候选体筛选问题，并登记文献元数据。</w:t>
      </w:r>
    </w:p>
    <w:p>
      <w:pPr>
        <w:pStyle w:val="ListBullet"/>
      </w:pPr>
      <w:r>
        <w:rPr>
          <w:rFonts w:ascii="Calibri" w:hAnsi="Calibri" w:eastAsia="Microsoft YaHei"/>
        </w:rPr>
        <w:t>P5：构建 J1030 公开目录数据包、处理有效 VizieR 表格、隔离无效 bot-check 下载。</w:t>
      </w:r>
    </w:p>
    <w:p>
      <w:pPr>
        <w:pStyle w:val="ListBullet"/>
      </w:pPr>
      <w:r>
        <w:rPr>
          <w:rFonts w:ascii="Calibri" w:hAnsi="Calibri" w:eastAsia="Microsoft YaHei"/>
        </w:rPr>
        <w:t>P6：生成 243 行 master candidate table、候选排序表和正式图件。</w:t>
      </w:r>
    </w:p>
    <w:p>
      <w:pPr>
        <w:pStyle w:val="ListBullet"/>
      </w:pPr>
      <w:r>
        <w:rPr>
          <w:rFonts w:ascii="Calibri" w:hAnsi="Calibri" w:eastAsia="Microsoft YaHei"/>
        </w:rPr>
        <w:t>P7：形成正式科研报告 Markdown 与 DOCX。</w:t>
      </w:r>
    </w:p>
    <w:p>
      <w:pPr>
        <w:pStyle w:val="ListBullet"/>
      </w:pPr>
      <w:r>
        <w:rPr>
          <w:rFonts w:ascii="Calibri" w:hAnsi="Calibri" w:eastAsia="Microsoft YaHei"/>
        </w:rPr>
        <w:t>P8：通过正式评审阀门，质量分数 0.96，决策为 route_next。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</w:rPr>
        <w:t>6.3 关键量化结果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公开目录总源数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243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带光谱性质的源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243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光谱或高可信红移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134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AGN-like 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99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obscured 候选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154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heavily obscured 候选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71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Compton-thick 量级候选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XID361 状态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存在；低 X-ray luminosity NL-AGN 基准源，但目录 NH 不支持直接列为 heavily obscured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P8 阀门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route_next; quality_score=0.96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6.4 高优先级候选体</w:t>
      </w:r>
    </w:p>
    <w:tbl>
      <w:tblPr>
        <w:tblStyle w:val="TableGrid"/>
        <w:tblW w:type="dxa" w:w="760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700"/>
        <w:gridCol w:w="1900"/>
        <w:gridCol w:w="850"/>
        <w:gridCol w:w="1200"/>
        <w:gridCol w:w="950"/>
        <w:gridCol w:w="110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候选体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分数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类别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红移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光谱类型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log NH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log L2-10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XID235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heavily_obscured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0.8249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NL-AGN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23.31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43.01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heavily_obscured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0.9378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NL-AGN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23.09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43.11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XID189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ct_level_nh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1.699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NL-AGN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24.18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44.21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XID95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heavily_obscured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2.508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Hiz-LAE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23.36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44.00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XID186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heavily_obscured_uncertain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1.943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BL-AGN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23.28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43.98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6.5 成果图件</w:t>
      </w:r>
    </w:p>
    <w:p>
      <w:r>
        <w:drawing>
          <wp:inline xmlns:a="http://schemas.openxmlformats.org/drawingml/2006/main" xmlns:pic="http://schemas.openxmlformats.org/drawingml/2006/picture">
            <wp:extent cx="5577840" cy="340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ormal_logL210_vs_red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1  红移与 X-ray luminosity 候选分布</w:t>
      </w:r>
    </w:p>
    <w:p>
      <w:r>
        <w:drawing>
          <wp:inline xmlns:a="http://schemas.openxmlformats.org/drawingml/2006/main" xmlns:pic="http://schemas.openxmlformats.org/drawingml/2006/picture">
            <wp:extent cx="5577840" cy="3408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ormal_logNH_vs_redshi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2  红移与 NH 候选分布</w:t>
      </w:r>
    </w:p>
    <w:p>
      <w:r>
        <w:drawing>
          <wp:inline xmlns:a="http://schemas.openxmlformats.org/drawingml/2006/main" xmlns:pic="http://schemas.openxmlformats.org/drawingml/2006/picture">
            <wp:extent cx="5577840" cy="3346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mal_logNH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3  NH 分布</w:t>
      </w:r>
    </w:p>
    <w:p>
      <w:pPr>
        <w:pStyle w:val="Heading2"/>
      </w:pPr>
      <w:r>
        <w:rPr>
          <w:rFonts w:ascii="Calibri" w:hAnsi="Calibri" w:eastAsia="Microsoft YaHei"/>
        </w:rPr>
        <w:t>6.6 主要交付物</w:t>
      </w:r>
    </w:p>
    <w:p>
      <w:pPr>
        <w:pStyle w:val="ListBullet"/>
      </w:pPr>
      <w:r>
        <w:rPr>
          <w:rFonts w:ascii="Calibri" w:hAnsi="Calibri" w:eastAsia="Microsoft YaHei"/>
        </w:rPr>
        <w:t>正式报告 DOCX：$env:J1030_PROJECT_ROOT\reports\j1030_formal_research_report.docx</w:t>
      </w:r>
    </w:p>
    <w:p>
      <w:pPr>
        <w:pStyle w:val="ListBullet"/>
      </w:pPr>
      <w:r>
        <w:rPr>
          <w:rFonts w:ascii="Calibri" w:hAnsi="Calibri" w:eastAsia="Microsoft YaHei"/>
        </w:rPr>
        <w:t>正式报告 Markdown：$env:J1030_PROJECT_ROOT\reports\j1030_formal_research_report.md</w:t>
      </w:r>
    </w:p>
    <w:p>
      <w:pPr>
        <w:pStyle w:val="ListBullet"/>
      </w:pPr>
      <w:r>
        <w:rPr>
          <w:rFonts w:ascii="Calibri" w:hAnsi="Calibri" w:eastAsia="Microsoft YaHei"/>
        </w:rPr>
        <w:t>Word 导出 QA PDF：$env:J1030_PROJECT_ROOT\reports\j1030_formal_research_report_word_export.pdf</w:t>
      </w:r>
    </w:p>
    <w:p>
      <w:pPr>
        <w:pStyle w:val="ListBullet"/>
      </w:pPr>
      <w:r>
        <w:rPr>
          <w:rFonts w:ascii="Calibri" w:hAnsi="Calibri" w:eastAsia="Microsoft YaHei"/>
        </w:rPr>
        <w:t>master candidate table：$env:J1030_PROJECT_ROOT\data\processed\j1030_master_candidate_table.csv</w:t>
      </w:r>
    </w:p>
    <w:p>
      <w:pPr>
        <w:pStyle w:val="ListBullet"/>
      </w:pPr>
      <w:r>
        <w:rPr>
          <w:rFonts w:ascii="Calibri" w:hAnsi="Calibri" w:eastAsia="Microsoft YaHei"/>
        </w:rPr>
        <w:t>top20 candidate table：$env:J1030_PROJECT_ROOT\outputs\tables\top20_obscured_agn_candidates.csv</w:t>
      </w:r>
    </w:p>
    <w:p>
      <w:pPr>
        <w:pStyle w:val="ListBullet"/>
      </w:pPr>
      <w:r>
        <w:rPr>
          <w:rFonts w:ascii="Calibri" w:hAnsi="Calibri" w:eastAsia="Microsoft YaHei"/>
        </w:rPr>
        <w:t>all ranked candidate table：$env:J1030_PROJECT_ROOT\outputs\tables\all_ranked_obscured_agn_candidates.csv</w:t>
      </w:r>
    </w:p>
    <w:p>
      <w:pPr>
        <w:pStyle w:val="Heading2"/>
      </w:pPr>
      <w:r>
        <w:rPr>
          <w:rFonts w:ascii="Calibri" w:hAnsi="Calibri" w:eastAsia="Microsoft YaHei"/>
        </w:rPr>
        <w:t>6.7 科研结论展示</w:t>
      </w:r>
    </w:p>
    <w:p>
      <w:r>
        <w:rPr>
          <w:rFonts w:ascii="Calibri" w:hAnsi="Calibri" w:eastAsia="Microsoft YaHei"/>
        </w:rPr>
        <w:t>J1030 课题证明：公开目录可以构建有物理意义的重度遮蔽 AGN 候选池。XID235 与 XID19 是最稳健的高优先级候选，XID189 是 Compton-thick 量级 NH 候选。XID361 被恢复为 X-ray-underluminous NL-AGN 基准源，但仅凭目录 NH 不能将其列为重度遮蔽确认源，因此更适合作为多波段不匹配诊断的基准对象。</w:t>
      </w:r>
    </w:p>
    <w:p>
      <w:pPr>
        <w:pStyle w:val="Heading1"/>
      </w:pPr>
      <w:r>
        <w:rPr>
          <w:rFonts w:ascii="Calibri" w:hAnsi="Calibri" w:eastAsia="Microsoft YaHei"/>
        </w:rPr>
        <w:t>7. 设计复盘与后续增强</w:t>
      </w:r>
    </w:p>
    <w:p>
      <w:r>
        <w:rPr>
          <w:rFonts w:ascii="Calibri" w:hAnsi="Calibri" w:eastAsia="Microsoft YaHei"/>
        </w:rPr>
        <w:t>这轮真实课题运行暴露出一个重要工程边界：deep-loop 与 auto-loop 必须明确分层。deep-loop 负责评估和生成下一链路指令；auto-loop --auto-route-next 才负责消费该指令并继续执行。</w:t>
      </w:r>
    </w:p>
    <w:p>
      <w:pPr>
        <w:pStyle w:val="ListBullet"/>
      </w:pPr>
      <w:r>
        <w:rPr>
          <w:rFonts w:ascii="Calibri" w:hAnsi="Calibri" w:eastAsia="Microsoft YaHei"/>
        </w:rPr>
        <w:t>repository-publisher：支持 Zenodo/OSF 发布、DOI 回填和 release provenance。</w:t>
      </w:r>
    </w:p>
    <w:p>
      <w:pPr>
        <w:pStyle w:val="ListBullet"/>
      </w:pPr>
      <w:r>
        <w:rPr>
          <w:rFonts w:ascii="Calibri" w:hAnsi="Calibri" w:eastAsia="Microsoft YaHei"/>
        </w:rPr>
        <w:t>research-kg-builder：把论文、主张、证据、数据、运行、图件和决策构成知识图谱。</w:t>
      </w:r>
    </w:p>
    <w:p>
      <w:pPr>
        <w:pStyle w:val="ListBullet"/>
      </w:pPr>
      <w:r>
        <w:rPr>
          <w:rFonts w:ascii="Calibri" w:hAnsi="Calibri" w:eastAsia="Microsoft YaHei"/>
        </w:rPr>
        <w:t>experiment-runner-plus：记录环境哈希、资源消耗、批处理任务和失败重试策略。</w:t>
      </w:r>
    </w:p>
    <w:p>
      <w:pPr>
        <w:pStyle w:val="ListBullet"/>
      </w:pPr>
      <w:r>
        <w:rPr>
          <w:rFonts w:ascii="Calibri" w:hAnsi="Calibri" w:eastAsia="Microsoft YaHei"/>
        </w:rPr>
        <w:t>literature-monitor：定期监控新论文、引用和竞争结果。</w:t>
      </w:r>
    </w:p>
    <w:p>
      <w:pPr>
        <w:pStyle w:val="ListBullet"/>
      </w:pPr>
      <w:r>
        <w:rPr>
          <w:rFonts w:ascii="Calibri" w:hAnsi="Calibri" w:eastAsia="Microsoft YaHei"/>
        </w:rPr>
        <w:t>semantic claim verifier：在结构性证据检查之外，加入语义级证据支持判断。</w:t>
      </w:r>
    </w:p>
    <w:p>
      <w:pPr>
        <w:pStyle w:val="Heading1"/>
      </w:pPr>
      <w:r>
        <w:rPr>
          <w:rFonts w:ascii="Calibri" w:hAnsi="Calibri" w:eastAsia="Microsoft YaHei"/>
        </w:rPr>
        <w:t>8. 结论</w:t>
      </w:r>
    </w:p>
    <w:p>
      <w:r>
        <w:rPr>
          <w:rFonts w:ascii="Calibri" w:hAnsi="Calibri" w:eastAsia="Microsoft YaHei"/>
        </w:rPr>
        <w:t>Codex Research Loop 已经从一个局部 loop 升级为可跨项目复用的科研工作流插件。它的核心价值不是替代专业研究技能，而是把专业技能组织进一个可追踪、可验证、可恢复、可无人值守推进的控制系统。J1030 课题展示了该设计在真实科研课程项目中的可用性。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