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31 January 3035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LTVIP2026TMIDS67275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online payments fraud detection using machine learning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Example: Order processing during pandemics for offline mode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 xml:space="preserve">Reference: 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"https://developer.ibm.com/patterns/ai-powered-backend-system-for-order-processing-during-pandemics/"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https://developer.ibm.com/patterns/ai-powered-backend-system-for-order-processing-during-pandemics/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drawing>
          <wp:anchor distT="0" distB="0" distL="114300" distR="114300" simplePos="0" relativeHeight="11" behindDoc="0" locked="0" layoutInCell="1" hidden="0" allowOverlap="1">
            <wp:simplePos x="0" y="0"/>
            <wp:positionH relativeFrom="column">
              <wp:posOffset>4279900</wp:posOffset>
            </wp:positionH>
            <wp:positionV relativeFrom="paragraph">
              <wp:posOffset>190500</wp:posOffset>
            </wp:positionV>
            <wp:extent cx="4768850" cy="2641600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8850" cy="26416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eastAsia="Arial" w:cs="Arial" w:hAnsi="Arial"/>
          <w:b/>
        </w:rPr>
      </w:pPr>
      <w:r>
        <w:drawing>
          <wp:anchor distT="0" distB="0" distL="114300" distR="114300" simplePos="0" relativeHeight="12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4" name="图片 4" descr="flow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ab/>
        <w:tab/>
        <w:tab/>
        <w:br/>
      </w: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Table-1 : Components &amp; Technologies:</w:t>
      </w:r>
    </w:p>
    <w:tbl>
      <w:tblPr>
        <w:jc w:val="left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How user interacts with application e.g.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Web UI, Mobile App, Chatbot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HTML, CSS, JavaScript / Angular Js / React Js etc.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Java / Python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STT service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Logic-3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Assistant 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 Type, Configurations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MySQL, NoSQL,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Cloud 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Service on Cloud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DB2, IBM Cloudant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 requirements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Block Storage or Other Storage Service or Local Filesystem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Weather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Aadhar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Object Recognition Model,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Infrastructure (Server / Cloud)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Deployment on Local System / Cloud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 Server Configuration: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Cloud Server Configuration : 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Local, Cloud Foundry, Kubernetes, etc.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Table-2: Application Characteristics:</w:t>
      </w:r>
    </w:p>
    <w:tbl>
      <w:tblPr>
        <w:jc w:val="left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the open-source frameworks used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of Opensource framework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Security Implementations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all the security / access controls implemented, use of firewalls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e.g. SHA-256, Encryptions, IAM Controls, OWASP etc.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Architecture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scalability of architecture (3 – tier, Micro-services)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Availability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availability of application (e.g. use of load balancers, distributed servers etc.)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Performance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Design consideration for the performance of the application (number of requests per sec, use of Cache, use of CDN’s)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References: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323</Words>
  <Characters>2299</Characters>
  <Lines>141</Lines>
  <Paragraphs>82</Paragraphs>
  <CharactersWithSpaces>2549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2026-02-20T08:13:18Z</dcterms:modified>
</cp:coreProperties>
</file>