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15 February 2025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LTVIP2026TMIDS67275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online payments fraud detection using machine learning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rFonts w:ascii="Arial" w:eastAsia="Arial" w:cs="Arial" w:hAnsi="Arial"/>
          <w:b/>
          <w:color w:val="000000"/>
          <w:sz w:val="24"/>
          <w:szCs w:val="24"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rPr>
          <w:b/>
        </w:rPr>
      </w:pPr>
    </w:p>
    <w:p>
      <w:pPr>
        <w:rPr>
          <w:b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rPr>
          <w:b/>
        </w:rPr>
      </w:pPr>
    </w:p>
    <w:p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4"/>
            <wp:effectExtent l="0" t="0" r="0" b="0"/>
            <wp:docPr id="1" name="图片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ascii="Helvetica Neue" w:eastAsia="Helvetica Neue" w:cs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rPr>
          <w:b/>
        </w:rPr>
      </w:pPr>
      <w:r>
        <w:rPr>
          <w:b/>
        </w:rPr>
        <w:t xml:space="preserve">Reference: </w:t>
      </w:r>
      <w:r>
        <w:rPr>
          <w:b/>
          <w:color w:val="0563C1"/>
          <w:u w:val="single"/>
        </w:rPr>
        <w:fldChar w:fldCharType="begin"/>
      </w:r>
      <w:r>
        <w:instrText>HYPERLINK "https://aws.amazon.com/blogs/industries/voice-applications-in-clinical-research-powered-by-ai-on-aws-part-1-architecture-and-design-considerations/"</w:instrText>
      </w:r>
      <w:r>
        <w:rPr>
          <w:b/>
          <w:color w:val="0563C1"/>
          <w:u w:val="single"/>
        </w:rP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>
      <w:pPr>
        <w:rPr>
          <w:b/>
        </w:rPr>
      </w:pPr>
    </w:p>
    <w:p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variable"/>
  </w:font>
  <w:font w:name="Noto Sans Symbols">
    <w:panose1 w:val="00000000000000000000"/>
    <w:charset w:val="00"/>
    <w:family w:val="auto"/>
    <w:pitch w:val="variable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FCB0890"/>
    <w:multiLevelType w:val="multilevel"/>
    <w:tmpl w:val="6330A27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styleId="20">
    <w:name w:val="Emphasis"/>
    <w:basedOn w:val="10"/>
    <w:rPr>
      <w:i/>
      <w:iCs/>
    </w:rPr>
  </w:style>
  <w:style w:type="paragraph" w:styleId="21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117</Words>
  <Characters>870</Characters>
  <Lines>31</Lines>
  <Paragraphs>19</Paragraphs>
  <CharactersWithSpaces>971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2</cp:revision>
  <dcterms:created xsi:type="dcterms:W3CDTF">2022-10-03T08:27:00Z</dcterms:created>
  <dcterms:modified xsi:type="dcterms:W3CDTF">2026-02-20T08:22:26Z</dcterms:modified>
</cp:coreProperties>
</file>